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rPr>
          <w:rFonts w:cs="Arial"/>
          <w:b/>
          <w:b/>
          <w:sz w:val="24"/>
        </w:rPr>
      </w:pPr>
      <w:r>
        <w:rPr>
          <w:rFonts w:cs="Arial"/>
          <w:b/>
          <w:sz w:val="24"/>
        </w:rPr>
      </w:r>
    </w:p>
    <w:p>
      <w:pPr>
        <w:pStyle w:val="NoSpacing"/>
        <w:spacing w:lineRule="auto" w:line="360"/>
        <w:jc w:val="center"/>
        <w:rPr/>
      </w:pPr>
      <w:r>
        <w:rPr>
          <w:b/>
          <w:sz w:val="24"/>
        </w:rPr>
        <w:t>PORTARIA Nº.0</w:t>
      </w:r>
      <w:r>
        <w:rPr>
          <w:b/>
          <w:sz w:val="24"/>
        </w:rPr>
        <w:t>28</w:t>
      </w:r>
      <w:r>
        <w:rPr>
          <w:b/>
          <w:sz w:val="24"/>
        </w:rPr>
        <w:t>, DE 1</w:t>
      </w:r>
      <w:r>
        <w:rPr>
          <w:b/>
          <w:sz w:val="24"/>
        </w:rPr>
        <w:t>2</w:t>
      </w:r>
      <w:r>
        <w:rPr>
          <w:b/>
          <w:sz w:val="24"/>
        </w:rPr>
        <w:t xml:space="preserve"> DE </w:t>
      </w:r>
      <w:r>
        <w:rPr>
          <w:b/>
          <w:sz w:val="24"/>
        </w:rPr>
        <w:t>MARÇO</w:t>
      </w:r>
      <w:r>
        <w:rPr>
          <w:b/>
          <w:sz w:val="24"/>
        </w:rPr>
        <w:t xml:space="preserve"> DE 202</w:t>
      </w:r>
      <w:r>
        <w:rPr>
          <w:b/>
          <w:sz w:val="24"/>
        </w:rPr>
        <w:t>4</w:t>
      </w:r>
    </w:p>
    <w:p>
      <w:pPr>
        <w:pStyle w:val="NoSpacing"/>
        <w:spacing w:lineRule="auto" w:line="360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Spacing"/>
        <w:spacing w:lineRule="auto" w:line="276"/>
        <w:ind w:left="3402" w:hanging="0"/>
        <w:jc w:val="both"/>
        <w:rPr>
          <w:rFonts w:ascii="Arial" w:hAnsi="Arial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“</w:t>
      </w:r>
      <w:r>
        <w:rPr>
          <w:b/>
          <w:bCs/>
          <w:color w:val="000000"/>
          <w:sz w:val="24"/>
          <w:szCs w:val="24"/>
        </w:rPr>
        <w:t>Nomeia de Comissão de Monitoramento e Avaliação de parcerias firmadas entre a Administração Municipal e Organizações da Sociedade Civil e dá outras providências”.</w:t>
      </w:r>
    </w:p>
    <w:p>
      <w:pPr>
        <w:pStyle w:val="NoSpacing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Spacing"/>
        <w:jc w:val="both"/>
        <w:rPr/>
      </w:pPr>
      <w:r>
        <w:rPr>
          <w:sz w:val="24"/>
        </w:rPr>
        <w:tab/>
        <w:t>O Prefeito Municipal de Santana da Vargem, no uso das atribuições que lhe confere a Lei, e, em especial o artigo 79, inciso II, alínea “e”, da Lei Orgânica do Município</w:t>
      </w:r>
      <w:r>
        <w:rPr>
          <w:sz w:val="24"/>
          <w:szCs w:val="24"/>
        </w:rPr>
        <w:t xml:space="preserve"> e, em cumprimento ao §1º do art. 27 da Lei Federal no 13.019 de 31 de julho de 2014;</w:t>
      </w:r>
    </w:p>
    <w:p>
      <w:pPr>
        <w:pStyle w:val="NoSpacing"/>
        <w:spacing w:lineRule="auto" w:line="360"/>
        <w:jc w:val="both"/>
        <w:rPr>
          <w:sz w:val="24"/>
        </w:rPr>
      </w:pPr>
      <w:r>
        <w:rPr>
          <w:sz w:val="24"/>
        </w:rPr>
      </w:r>
    </w:p>
    <w:p>
      <w:pPr>
        <w:pStyle w:val="NoSpacing"/>
        <w:spacing w:lineRule="auto" w:line="360"/>
        <w:ind w:left="709" w:hanging="0"/>
        <w:jc w:val="both"/>
        <w:rPr>
          <w:u w:val="none"/>
        </w:rPr>
      </w:pPr>
      <w:r>
        <w:rPr>
          <w:b/>
          <w:sz w:val="24"/>
          <w:u w:val="none"/>
        </w:rPr>
        <w:t>RESOLVE:</w:t>
      </w:r>
    </w:p>
    <w:p>
      <w:pPr>
        <w:pStyle w:val="NoSpacing"/>
        <w:jc w:val="both"/>
        <w:rPr/>
      </w:pPr>
      <w:r>
        <w:rPr>
          <w:b/>
          <w:color w:val="000000"/>
          <w:sz w:val="24"/>
          <w:szCs w:val="24"/>
          <w:u w:val="none"/>
        </w:rPr>
        <w:tab/>
      </w:r>
    </w:p>
    <w:p>
      <w:pPr>
        <w:pStyle w:val="NoSpacing"/>
        <w:jc w:val="both"/>
        <w:rPr/>
      </w:pPr>
      <w:r>
        <w:rPr>
          <w:b/>
          <w:color w:val="000000"/>
          <w:sz w:val="24"/>
          <w:szCs w:val="24"/>
          <w:u w:val="none"/>
        </w:rPr>
        <w:tab/>
      </w:r>
      <w:r>
        <w:rPr>
          <w:sz w:val="24"/>
          <w:szCs w:val="24"/>
        </w:rPr>
        <w:t>Art.1º. Nomear Comissão de Monitoramento e Avaliação para acompanhamento da execução das parcerias que serão firmadas pela Administração Municipal com Organizações da Sociedade Civil, a qual será composta pelos membros abaixo nomeados: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I – Membros efetivos: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a) Presidente: Sr. </w:t>
      </w:r>
      <w:r>
        <w:rPr>
          <w:rFonts w:cs="Arial"/>
          <w:sz w:val="24"/>
          <w:szCs w:val="24"/>
        </w:rPr>
        <w:t>Luiz Fernando Schiavoni, portador do Masp nº.3277;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b) Membro: Sr. </w:t>
      </w:r>
      <w:r>
        <w:rPr>
          <w:rFonts w:cs="Arial"/>
          <w:sz w:val="24"/>
          <w:szCs w:val="24"/>
        </w:rPr>
        <w:t>Antônio Vitor Baltazar, portador do Masp nº.28;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 xml:space="preserve">c) Membro: Sr. </w:t>
      </w:r>
      <w:r>
        <w:rPr>
          <w:sz w:val="24"/>
          <w:szCs w:val="24"/>
        </w:rPr>
        <w:t>Rafael Pereira Vasconcelos,</w:t>
      </w:r>
      <w:r>
        <w:rPr>
          <w:sz w:val="24"/>
          <w:szCs w:val="24"/>
        </w:rPr>
        <w:t xml:space="preserve"> portador do Masp nº.</w:t>
      </w:r>
      <w:r>
        <w:rPr>
          <w:sz w:val="24"/>
          <w:szCs w:val="24"/>
        </w:rPr>
        <w:t>3611</w:t>
      </w:r>
      <w:r>
        <w:rPr>
          <w:sz w:val="24"/>
          <w:szCs w:val="24"/>
        </w:rPr>
        <w:t>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>Art.2º. Compete a Comissão de Monitoramento e Avaliação: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>I – realizar procedimentos de fiscalização das parcerias celebradas antes do término da sua vigência, inclusive por meio de visitas in loco, para fins de monitoramento e avaliação do cumprimento do objeto, na forma do disposto no termo de parceria;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>II – emitir e homologar relatórios técnicos de monitoramento e avaliação da parceria, sem prejuízo de outros elementos, o qual devera conter, no mínimo: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>a) descrição sumária das atividades e metas estabelecidas;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 xml:space="preserve">b) </w:t>
      </w:r>
      <w:r>
        <w:rPr>
          <w:sz w:val="24"/>
          <w:szCs w:val="24"/>
        </w:rPr>
        <w:t>análise das</w:t>
      </w:r>
      <w:r>
        <w:rPr>
          <w:sz w:val="24"/>
          <w:szCs w:val="24"/>
        </w:rPr>
        <w:t xml:space="preserve"> atividades realizadas, do cumprimento das metas e do impacto do beneficio social obtido em razão da execução do objeto ate o período, com base nos indicadores estabelecidos e aprovados no plano de trabalho;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c) valores efetivamente transferidos pela administração publica e valores comprovadamente utilizados;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d) quando for o caso, os valores pagos a titulo de custos indiretos, os remanejamentos efetuados, as sobras de recursos financeiros, incluindo as aplicações financeiras, e eventuais valores devolvidos aos cofres públicos;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 xml:space="preserve">e) </w:t>
      </w:r>
      <w:r>
        <w:rPr>
          <w:sz w:val="24"/>
          <w:szCs w:val="24"/>
        </w:rPr>
        <w:t>análise dos</w:t>
      </w:r>
      <w:r>
        <w:rPr>
          <w:sz w:val="24"/>
          <w:szCs w:val="24"/>
        </w:rPr>
        <w:t xml:space="preserve"> documentos comprobatórios das despesas apresentados pela organização da sociedade civil na prestação de contas;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f) </w:t>
      </w:r>
      <w:r>
        <w:rPr>
          <w:sz w:val="24"/>
          <w:szCs w:val="24"/>
        </w:rPr>
        <w:t>análise das</w:t>
      </w:r>
      <w:r>
        <w:rPr>
          <w:sz w:val="24"/>
          <w:szCs w:val="24"/>
        </w:rPr>
        <w:t xml:space="preserve"> auditorias realizadas pelos controles interno e externo, no âmbito da fiscalização preventiva, bem como de suas conclusões e das medidas que tomaram em decorrência dessas auditorias;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g) os resultados já alcançados e seus benefícios;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h) os impactos econômicos ou sociais;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i) o grau de satisfação do publico-alvo;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j) a possibilidade de sustentabilidade das acoes apos a conclusão do objeto pactuado.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III – realizar pesquisa de satisfação com os beneficiários do plano de trabalho, objetivando utilizar os resultados como subsídio na avaliação da parceria celebrada e do cumprimento dos objetivos pactuados, bem como na reorientação e no ajuste das metas e atividades definidas;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IV –Cumprir e fazer cumprir as demais determinações contidas na Lei Federal no 13.019 de 31 de julho de 2014, referente a avaliação e monitoramento de organizações da sociedade civil que tenham firmado parcerias com a Administração Municipal.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Art.3º. O membro da Comissão de Monitoramento e Avaliação deverá declarar-se impedido e manifestar pela sua substituição por membro suplente, se: 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a) tiver mantido relação jurídica com, ao menos, 1 (uma) das entidades em disputa, nos últimos 5 (cinco) anos.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b) for parente do dirigente ou de membros da diretoria da entidade, inclusive de seus cônjuges ou companheiros, bem como se for parente em linha reta, colateral ou por afinidade, ate o segundo grau.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Paragrafo único. O impedimento do membro se dará exclusivamente para o processo especifica, mantido sua atuação nos demais certames.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  <w:t>Art.4º. Constatadas quaisquer irregularidades na nomeação da Comissão de Monitoramento e Avaliação, todos os atos da mesma tornam-se nulos, obrigando refazê-los, inclusive com visitas intempestivas as entidades parceiras.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 xml:space="preserve">Art.5º. </w:t>
      </w:r>
      <w:r>
        <w:rPr>
          <w:sz w:val="24"/>
          <w:szCs w:val="24"/>
        </w:rPr>
        <w:t>Fica revogada a portaria Nº.057 de 19 de Outubro de</w:t>
      </w:r>
      <w:r>
        <w:rPr>
          <w:b/>
          <w:sz w:val="24"/>
          <w:szCs w:val="24"/>
        </w:rPr>
        <w:t xml:space="preserve"> </w:t>
      </w:r>
      <w:r>
        <w:rPr>
          <w:b w:val="false"/>
          <w:bCs w:val="false"/>
          <w:sz w:val="24"/>
          <w:szCs w:val="24"/>
        </w:rPr>
        <w:t>2023</w:t>
      </w:r>
    </w:p>
    <w:p>
      <w:pPr>
        <w:pStyle w:val="NoSpacing"/>
        <w:jc w:val="both"/>
        <w:rPr>
          <w:sz w:val="24"/>
          <w:szCs w:val="24"/>
        </w:rPr>
      </w:pPr>
      <w:r>
        <w:rPr/>
      </w:r>
    </w:p>
    <w:p>
      <w:pPr>
        <w:pStyle w:val="NoSpacing"/>
        <w:jc w:val="both"/>
        <w:rPr/>
      </w:pPr>
      <w:r>
        <w:rPr>
          <w:sz w:val="24"/>
          <w:szCs w:val="24"/>
        </w:rPr>
        <w:tab/>
        <w:t>Art.6º.</w:t>
      </w:r>
      <w:r>
        <w:rPr>
          <w:sz w:val="24"/>
          <w:szCs w:val="24"/>
        </w:rPr>
        <w:t xml:space="preserve"> Esta Portaria entra em vigor na data de sua publicação.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JOSE ELIAS FIGUEIREDO</w:t>
      </w:r>
    </w:p>
    <w:p>
      <w:pPr>
        <w:pStyle w:val="NoSpacing"/>
        <w:jc w:val="center"/>
        <w:rPr/>
      </w:pPr>
      <w:r>
        <w:rPr>
          <w:b/>
          <w:bCs/>
          <w:sz w:val="24"/>
          <w:szCs w:val="24"/>
        </w:rPr>
        <w:t>PREFEITO MUNICIPAL</w:t>
      </w:r>
    </w:p>
    <w:sectPr>
      <w:headerReference w:type="default" r:id="rId2"/>
      <w:type w:val="nextPage"/>
      <w:pgSz w:w="11906" w:h="16838"/>
      <w:pgMar w:left="1701" w:right="1134" w:header="851" w:top="2268" w:footer="0" w:bottom="1134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spacing w:lineRule="exact" w:line="320"/>
      <w:ind w:firstLine="1416"/>
      <w:jc w:val="center"/>
      <w:rPr>
        <w:b/>
        <w:b/>
        <w:bCs/>
        <w:sz w:val="28"/>
        <w:szCs w:val="28"/>
      </w:rPr>
    </w:pPr>
    <w:r>
      <w:drawing>
        <wp:anchor behindDoc="0" distT="0" distB="0" distL="114300" distR="114300" simplePos="0" locked="0" layoutInCell="1" allowOverlap="1" relativeHeight="4">
          <wp:simplePos x="0" y="0"/>
          <wp:positionH relativeFrom="column">
            <wp:posOffset>57785</wp:posOffset>
          </wp:positionH>
          <wp:positionV relativeFrom="paragraph">
            <wp:posOffset>73660</wp:posOffset>
          </wp:positionV>
          <wp:extent cx="918845" cy="805180"/>
          <wp:effectExtent l="0" t="0" r="0" b="0"/>
          <wp:wrapTight wrapText="bothSides">
            <wp:wrapPolygon edited="0">
              <wp:start x="-448" y="0"/>
              <wp:lineTo x="-448" y="20908"/>
              <wp:lineTo x="21463" y="20908"/>
              <wp:lineTo x="21463" y="0"/>
              <wp:lineTo x="-448" y="0"/>
            </wp:wrapPolygon>
          </wp:wrapTight>
          <wp:docPr id="1" name="Imagem 0" descr="brazã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brazão.b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805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sz w:val="28"/>
        <w:szCs w:val="28"/>
      </w:rPr>
      <w:t>P</w:t>
    </w:r>
    <w:r>
      <w:rPr>
        <w:b/>
        <w:bCs/>
        <w:sz w:val="28"/>
        <w:szCs w:val="28"/>
      </w:rPr>
      <w:t>REFEITURA MUNICIPAL DE SANTANA DA VARGEM</w:t>
    </w:r>
  </w:p>
  <w:p>
    <w:pPr>
      <w:pStyle w:val="Cabealho"/>
      <w:spacing w:lineRule="exact" w:line="320"/>
      <w:rPr>
        <w:sz w:val="24"/>
      </w:rPr>
    </w:pPr>
    <w:r>
      <w:rPr>
        <w:sz w:val="24"/>
      </w:rPr>
      <w:tab/>
      <w:t>Praça Padre João Maciel Neiva, 15 – 37.195-000</w:t>
    </w:r>
  </w:p>
  <w:p>
    <w:pPr>
      <w:pStyle w:val="Cabealho"/>
      <w:tabs>
        <w:tab w:val="left" w:pos="1475" w:leader="none"/>
        <w:tab w:val="center" w:pos="4252" w:leader="none"/>
        <w:tab w:val="center" w:pos="5103" w:leader="none"/>
        <w:tab w:val="right" w:pos="8504" w:leader="none"/>
      </w:tabs>
      <w:spacing w:lineRule="exact" w:line="320"/>
      <w:rPr>
        <w:sz w:val="24"/>
      </w:rPr>
    </w:pPr>
    <w:r>
      <w:rPr>
        <w:sz w:val="24"/>
      </w:rPr>
      <w:tab/>
      <w:t xml:space="preserve">    Fone (035) 3858-1200 - CNPJ 18.245.183/0001-70</w:t>
    </w:r>
  </w:p>
  <w:p>
    <w:pPr>
      <w:pStyle w:val="Cabealho"/>
      <w:tabs>
        <w:tab w:val="left" w:pos="1475" w:leader="none"/>
        <w:tab w:val="center" w:pos="4252" w:leader="none"/>
        <w:tab w:val="center" w:pos="5103" w:leader="none"/>
        <w:tab w:val="right" w:pos="8504" w:leader="none"/>
      </w:tabs>
      <w:spacing w:lineRule="exact" w:line="320"/>
      <w:rPr/>
    </w:pPr>
    <w:r>
      <w:rPr/>
      <w:tab/>
      <w:tab/>
    </w:r>
    <w:hyperlink r:id="rId2">
      <w:r>
        <w:rPr>
          <w:rStyle w:val="LinkdaInternet"/>
          <w:sz w:val="24"/>
        </w:rPr>
        <w:t>administração@santanadavargem.mg.gov.br</w:t>
      </w:r>
    </w:hyperlink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44417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2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1"/>
    <w:qFormat/>
    <w:rsid w:val="000e01f8"/>
    <w:pPr>
      <w:ind w:left="3396" w:hanging="0"/>
      <w:outlineLvl w:val="0"/>
    </w:pPr>
    <w:rPr>
      <w:rFonts w:eastAsia="Calibri" w:cs="Arial"/>
      <w:b/>
      <w:bCs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sid w:val="00f44417"/>
    <w:rPr>
      <w:rFonts w:ascii="Arial" w:hAnsi="Arial" w:eastAsia="Times New Roman" w:cs="Times New Roman"/>
      <w:szCs w:val="24"/>
      <w:lang w:eastAsia="pt-BR"/>
    </w:rPr>
  </w:style>
  <w:style w:type="character" w:styleId="LinkdaInternet" w:customStyle="1">
    <w:name w:val="Link da Internet"/>
    <w:basedOn w:val="DefaultParagraphFont"/>
    <w:uiPriority w:val="99"/>
    <w:unhideWhenUsed/>
    <w:rsid w:val="00f44417"/>
    <w:rPr>
      <w:color w:val="0000FF"/>
      <w:u w:val="single"/>
    </w:rPr>
  </w:style>
  <w:style w:type="character" w:styleId="RodapChar" w:customStyle="1">
    <w:name w:val="Rodapé Char"/>
    <w:basedOn w:val="DefaultParagraphFont"/>
    <w:uiPriority w:val="99"/>
    <w:qFormat/>
    <w:rsid w:val="000e01f8"/>
    <w:rPr>
      <w:rFonts w:ascii="Arial" w:hAnsi="Arial" w:eastAsia="Times New Roman" w:cs="Times New Roman"/>
      <w:szCs w:val="24"/>
      <w:lang w:eastAsia="pt-BR"/>
    </w:rPr>
  </w:style>
  <w:style w:type="character" w:styleId="Ttulo1Char" w:customStyle="1">
    <w:name w:val="Título 1 Char"/>
    <w:basedOn w:val="DefaultParagraphFont"/>
    <w:uiPriority w:val="1"/>
    <w:qFormat/>
    <w:rsid w:val="000e01f8"/>
    <w:rPr>
      <w:rFonts w:ascii="Arial" w:hAnsi="Arial" w:cs="Arial"/>
      <w:b/>
      <w:bCs/>
    </w:rPr>
  </w:style>
  <w:style w:type="character" w:styleId="CorpodetextoChar" w:customStyle="1">
    <w:name w:val="Corpo de texto Char"/>
    <w:basedOn w:val="DefaultParagraphFont"/>
    <w:uiPriority w:val="1"/>
    <w:qFormat/>
    <w:rsid w:val="000e01f8"/>
    <w:rPr>
      <w:rFonts w:ascii="Arial" w:hAnsi="Arial" w:cs="Arial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8b4423"/>
    <w:rPr>
      <w:rFonts w:ascii="Segoe UI" w:hAnsi="Segoe UI" w:eastAsia="Times New Roman" w:cs="Segoe UI"/>
      <w:sz w:val="18"/>
      <w:szCs w:val="18"/>
      <w:lang w:eastAsia="pt-BR"/>
    </w:rPr>
  </w:style>
  <w:style w:type="character" w:styleId="SubttuloChar" w:customStyle="1">
    <w:name w:val="Subtítulo Char"/>
    <w:basedOn w:val="DefaultParagraphFont"/>
    <w:qFormat/>
    <w:rsid w:val="00f55ce2"/>
    <w:rPr>
      <w:rFonts w:ascii="Arial" w:hAnsi="Arial" w:eastAsia="Times New Roman"/>
      <w:b/>
      <w:bCs/>
      <w:sz w:val="32"/>
      <w:szCs w:val="24"/>
    </w:rPr>
  </w:style>
  <w:style w:type="character" w:styleId="ListLabel1">
    <w:name w:val="ListLabel 1"/>
    <w:qFormat/>
    <w:rPr>
      <w:sz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1"/>
    <w:qFormat/>
    <w:rsid w:val="000e01f8"/>
    <w:pPr>
      <w:ind w:left="102" w:hanging="0"/>
    </w:pPr>
    <w:rPr>
      <w:rFonts w:eastAsia="Calibri" w:cs="Arial"/>
      <w:szCs w:val="22"/>
      <w:lang w:eastAsia="en-US"/>
    </w:rPr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f44417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0e01f8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b4423"/>
    <w:pPr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link w:val="SubttuloChar"/>
    <w:qFormat/>
    <w:rsid w:val="00f55ce2"/>
    <w:pPr>
      <w:jc w:val="center"/>
    </w:pPr>
    <w:rPr>
      <w:b/>
      <w:bCs/>
      <w:sz w:val="32"/>
    </w:rPr>
  </w:style>
  <w:style w:type="paragraph" w:styleId="NoSpacing">
    <w:name w:val="No Spacing"/>
    <w:uiPriority w:val="1"/>
    <w:qFormat/>
    <w:rsid w:val="00f55ce2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2"/>
      <w:szCs w:val="24"/>
      <w:lang w:val="pt-BR"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administra&#231;&#227;o@santanadavargem.mg.gov.br" TargetMode="Externa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CC41A-EF62-48EA-905D-AA89291DC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Application>LibreOffice/6.2.4.2$Windows_X86_64 LibreOffice_project/2412653d852ce75f65fbfa83fb7e7b669a126d64</Application>
  <Pages>3</Pages>
  <Words>633</Words>
  <Characters>3573</Characters>
  <CharactersWithSpaces>4224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2023-10-10T13:07:00Z</dcterms:created>
  <dc:creator>Juridico</dc:creator>
  <dc:description/>
  <dc:language>pt-BR</dc:language>
  <cp:lastModifiedBy/>
  <cp:lastPrinted>2023-10-10T09:11:00Z</cp:lastPrinted>
  <dcterms:modified xsi:type="dcterms:W3CDTF">2024-03-12T15:35:49Z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