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D57" w:rsidRPr="00CC6632" w:rsidRDefault="00871D57" w:rsidP="00450B47">
      <w:pPr>
        <w:pStyle w:val="Ttulo1"/>
        <w:rPr>
          <w:sz w:val="28"/>
          <w:szCs w:val="28"/>
        </w:rPr>
      </w:pPr>
      <w:r w:rsidRPr="00CC6632">
        <w:rPr>
          <w:sz w:val="28"/>
          <w:szCs w:val="28"/>
        </w:rPr>
        <w:t xml:space="preserve">LEI </w:t>
      </w:r>
      <w:r w:rsidR="00570081">
        <w:rPr>
          <w:sz w:val="28"/>
          <w:szCs w:val="28"/>
        </w:rPr>
        <w:t xml:space="preserve">MUNICIPAL </w:t>
      </w:r>
      <w:r w:rsidRPr="00CC6632">
        <w:rPr>
          <w:sz w:val="28"/>
          <w:szCs w:val="28"/>
        </w:rPr>
        <w:t xml:space="preserve">Nº </w:t>
      </w:r>
      <w:r w:rsidR="0037427B">
        <w:rPr>
          <w:sz w:val="28"/>
          <w:szCs w:val="28"/>
        </w:rPr>
        <w:t>1420</w:t>
      </w:r>
      <w:r w:rsidRPr="00CC6632">
        <w:rPr>
          <w:sz w:val="28"/>
          <w:szCs w:val="28"/>
        </w:rPr>
        <w:t xml:space="preserve">, DE </w:t>
      </w:r>
      <w:r w:rsidR="0037427B">
        <w:rPr>
          <w:sz w:val="28"/>
          <w:szCs w:val="28"/>
        </w:rPr>
        <w:t>20</w:t>
      </w:r>
      <w:r w:rsidR="000F6AE3">
        <w:rPr>
          <w:sz w:val="28"/>
          <w:szCs w:val="28"/>
        </w:rPr>
        <w:t xml:space="preserve"> </w:t>
      </w:r>
      <w:r w:rsidRPr="00CC6632">
        <w:rPr>
          <w:sz w:val="28"/>
          <w:szCs w:val="28"/>
        </w:rPr>
        <w:t xml:space="preserve">DE </w:t>
      </w:r>
      <w:r w:rsidR="0037427B">
        <w:rPr>
          <w:sz w:val="28"/>
          <w:szCs w:val="28"/>
        </w:rPr>
        <w:t>JULHO</w:t>
      </w:r>
      <w:r w:rsidRPr="00CC6632">
        <w:rPr>
          <w:sz w:val="28"/>
          <w:szCs w:val="28"/>
        </w:rPr>
        <w:t xml:space="preserve"> DE </w:t>
      </w:r>
      <w:r w:rsidR="004B56D4">
        <w:rPr>
          <w:sz w:val="28"/>
          <w:szCs w:val="28"/>
        </w:rPr>
        <w:t>2016</w:t>
      </w:r>
    </w:p>
    <w:p w:rsidR="00871D57" w:rsidRPr="00CC6632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/>
        <w:jc w:val="both"/>
        <w:rPr>
          <w:rFonts w:ascii="Arial" w:hAnsi="Arial" w:cs="Arial"/>
          <w:sz w:val="28"/>
          <w:szCs w:val="28"/>
        </w:rPr>
      </w:pPr>
    </w:p>
    <w:p w:rsidR="00871D57" w:rsidRPr="00570081" w:rsidRDefault="003F2436" w:rsidP="003F2436">
      <w:pPr>
        <w:pStyle w:val="Blockquote"/>
        <w:tabs>
          <w:tab w:val="left" w:pos="9356"/>
        </w:tabs>
        <w:spacing w:before="0" w:after="0" w:line="320" w:lineRule="exact"/>
        <w:ind w:left="2268" w:right="4"/>
        <w:jc w:val="both"/>
        <w:rPr>
          <w:rFonts w:ascii="Arial" w:hAnsi="Arial" w:cs="Arial"/>
          <w:b/>
          <w:i/>
          <w:sz w:val="22"/>
          <w:szCs w:val="22"/>
        </w:rPr>
      </w:pPr>
      <w:r w:rsidRPr="00570081">
        <w:rPr>
          <w:rFonts w:ascii="Arial" w:hAnsi="Arial" w:cs="Arial"/>
          <w:b/>
          <w:i/>
          <w:sz w:val="28"/>
          <w:szCs w:val="28"/>
        </w:rPr>
        <w:t xml:space="preserve">DISPÕE SOBRE AS DIRETRIZES PARA A ELABORAÇÃO DA LEI ORÇAMENTÁRIA DE </w:t>
      </w:r>
      <w:r w:rsidR="004B56D4" w:rsidRPr="00570081">
        <w:rPr>
          <w:rFonts w:ascii="Arial" w:hAnsi="Arial" w:cs="Arial"/>
          <w:b/>
          <w:i/>
          <w:sz w:val="28"/>
          <w:szCs w:val="28"/>
        </w:rPr>
        <w:t>2017</w:t>
      </w:r>
      <w:r w:rsidRPr="00570081">
        <w:rPr>
          <w:rFonts w:ascii="Arial" w:hAnsi="Arial" w:cs="Arial"/>
          <w:b/>
          <w:i/>
          <w:sz w:val="28"/>
          <w:szCs w:val="28"/>
        </w:rPr>
        <w:t xml:space="preserve"> </w:t>
      </w:r>
      <w:r w:rsidR="00CC6632" w:rsidRPr="00570081">
        <w:rPr>
          <w:rFonts w:ascii="Arial" w:hAnsi="Arial" w:cs="Arial"/>
          <w:b/>
          <w:i/>
          <w:sz w:val="28"/>
          <w:szCs w:val="28"/>
        </w:rPr>
        <w:t>E</w:t>
      </w:r>
      <w:r w:rsidRPr="00570081">
        <w:rPr>
          <w:rFonts w:ascii="Arial" w:hAnsi="Arial" w:cs="Arial"/>
          <w:b/>
          <w:i/>
          <w:sz w:val="28"/>
          <w:szCs w:val="28"/>
        </w:rPr>
        <w:t xml:space="preserve"> DA OUTRAS PROVIDÊNCIAS</w:t>
      </w:r>
      <w:r w:rsidRPr="00570081">
        <w:rPr>
          <w:rFonts w:ascii="Arial" w:hAnsi="Arial" w:cs="Arial"/>
          <w:b/>
          <w:i/>
          <w:sz w:val="22"/>
          <w:szCs w:val="22"/>
        </w:rPr>
        <w:t>.</w:t>
      </w:r>
    </w:p>
    <w:p w:rsidR="00871D57" w:rsidRPr="00570081" w:rsidRDefault="00871D57" w:rsidP="003F2436">
      <w:pPr>
        <w:pStyle w:val="Corpodetexto3"/>
        <w:spacing w:line="320" w:lineRule="exact"/>
        <w:rPr>
          <w:i/>
          <w:sz w:val="22"/>
          <w:szCs w:val="22"/>
        </w:rPr>
      </w:pPr>
    </w:p>
    <w:p w:rsidR="00871D57" w:rsidRPr="003F2436" w:rsidRDefault="00871D57" w:rsidP="003F2436">
      <w:pPr>
        <w:spacing w:line="320" w:lineRule="exact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ab/>
        <w:t>O Povo de Santana da Vargem, por seus representantes na Câmara Municipal aprovou, e eu, Prefeito Municipal, em seu nome, sanciono a seguinte Lei: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0F6AE3" w:rsidRDefault="00871D57" w:rsidP="003F2436">
      <w:pPr>
        <w:pStyle w:val="Corpodetexto3"/>
        <w:spacing w:line="320" w:lineRule="exact"/>
        <w:jc w:val="center"/>
        <w:rPr>
          <w:sz w:val="22"/>
          <w:szCs w:val="22"/>
        </w:rPr>
      </w:pPr>
      <w:r w:rsidRPr="000F6AE3">
        <w:rPr>
          <w:caps/>
          <w:sz w:val="22"/>
          <w:szCs w:val="22"/>
        </w:rPr>
        <w:t>Disposições Preliminares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sz w:val="22"/>
          <w:szCs w:val="22"/>
        </w:rPr>
      </w:pPr>
      <w:bookmarkStart w:id="0" w:name="_GoBack"/>
      <w:bookmarkEnd w:id="0"/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Art.1º São estabelecidas, em cumprimento ao disposto no art. 165, § 2º, da Constituição da República, e na Lei Complementar nº 101, de 04 de maio de 2000, as diretrizes para a elaboração da lei orçamentária do exercício financeiro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compreendendo: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as metas e prioridades da Administração Pública Municipal;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orientações básicas para elaboração da lei orçamentária anual;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disposições sobre a política de pessoal e serviços extraordinários;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IV – disposições sobre a receita e alterações na legislação tributária do Município;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 – equilíbrio entre receitas e despesas;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 – critérios e formas de limitação de empenho;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VII – normas relativas ao controle de custos e a avaliação dos resultados dos programas financiados com recursos dos orçamentos;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VIII – condições e exigências para transferências de recursos a entidades públicas e privadas;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IX – autorização para o Município auxiliar o custeio de despesas atribuídas a outros entes da federação;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X – parâmetros para a elaboração da programação financeira e do cronograma mensal de desembolso;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XI – definição de critérios para início de novos projetos;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XII – definição das despesas consideradas irrelevantes;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XIII – incentivo à participação popular;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XIV – as disposições gerais.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1"/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Metas e Prioridades da Administração Pública Municipal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2º. Em consonância com o disposto no art. 165, § 2º, da Constituição da República, atendidas as despesas que constituem obrigação constitucional ou legal do Município, as ações relativas à manutenção e funcionamento dos órgãos da administração direta e das entidades da administração indireta, as metas e as prioridades para o exercício </w:t>
      </w:r>
      <w:r w:rsidRPr="003F2436">
        <w:rPr>
          <w:rFonts w:cs="Arial"/>
          <w:szCs w:val="22"/>
        </w:rPr>
        <w:lastRenderedPageBreak/>
        <w:t xml:space="preserve">financeiro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correspondem às ações especificadas no Anexo de Metas e Prioridades que integra esta Lei, de acordo com os programas e ações estabelecidos no Plano Plurianual, as quais terão precedência na alocação de recursos na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e na sua execução, não se constituindo, todavia, em limite à programação das despesas.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1º. O projeto de lei orçamentária para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deverá ser elaborado em consonância com as metas e prioridades estabelecidas na forma do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 deste artigo.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§ 2º. O projeto de lei orçamentária para </w:t>
      </w:r>
      <w:r w:rsidR="004B56D4">
        <w:rPr>
          <w:b w:val="0"/>
          <w:bCs w:val="0"/>
          <w:sz w:val="22"/>
          <w:szCs w:val="22"/>
        </w:rPr>
        <w:t>2017</w:t>
      </w:r>
      <w:r w:rsidRPr="003F2436">
        <w:rPr>
          <w:b w:val="0"/>
          <w:bCs w:val="0"/>
          <w:sz w:val="22"/>
          <w:szCs w:val="22"/>
        </w:rPr>
        <w:t xml:space="preserve"> conterá demonstrativo da observância das metas e prioridades estabelecidas na forma do </w:t>
      </w:r>
      <w:r w:rsidRPr="003F2436">
        <w:rPr>
          <w:b w:val="0"/>
          <w:bCs w:val="0"/>
          <w:i/>
          <w:sz w:val="22"/>
          <w:szCs w:val="22"/>
        </w:rPr>
        <w:t>caput</w:t>
      </w:r>
      <w:r w:rsidRPr="003F2436">
        <w:rPr>
          <w:b w:val="0"/>
          <w:bCs w:val="0"/>
          <w:sz w:val="22"/>
          <w:szCs w:val="22"/>
        </w:rPr>
        <w:t xml:space="preserve"> deste artigo.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2"/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Orientações Básicas para Elaboração da Lei Orçamentária Anual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Subseção 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Diretrizes Gerais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Art. 3º As categorias de programação de que trata esta Lei serão identificadas por funções, subfunções, programas, atividades, projetos, operações especiais, de acordo com as codificações da Portaria SOF nº 42/1999, da Portaria Interministerial STN/SOF nº 163/2001 e da Lei do Plano Plurianual relativo ao período </w:t>
      </w:r>
      <w:r w:rsidR="004B56D4">
        <w:rPr>
          <w:b w:val="0"/>
          <w:bCs w:val="0"/>
          <w:sz w:val="22"/>
          <w:szCs w:val="22"/>
        </w:rPr>
        <w:t>2014</w:t>
      </w:r>
      <w:r w:rsidRPr="003F2436">
        <w:rPr>
          <w:b w:val="0"/>
          <w:bCs w:val="0"/>
          <w:sz w:val="22"/>
          <w:szCs w:val="22"/>
        </w:rPr>
        <w:t xml:space="preserve"> - </w:t>
      </w:r>
      <w:r w:rsidR="00450B47">
        <w:rPr>
          <w:b w:val="0"/>
          <w:bCs w:val="0"/>
          <w:sz w:val="22"/>
          <w:szCs w:val="22"/>
        </w:rPr>
        <w:t>201</w:t>
      </w:r>
      <w:r w:rsidR="00CB616D">
        <w:rPr>
          <w:b w:val="0"/>
          <w:bCs w:val="0"/>
          <w:sz w:val="22"/>
          <w:szCs w:val="22"/>
        </w:rPr>
        <w:t>7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3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Art. 4º O orçamento fiscal e da seguridade social discriminará a despesa, no mínimo, por elemento da despesa, conforme art. 15 da Lei Federal nº. 4.320/64.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5º O projeto de lei orçamentária que o Poder Executivo encaminhará à Câmara Municipal será constituído de: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texto da lei;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documentos referenciados nos artigos 2º e 22 da Lei Federal nº. 4.320/1964;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quadros orçamentários consolidados;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IV – anexos do orçamento fiscal, discriminando a receita e a despesa na forma definida nesta Lei;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 – demonstrativos e documentos previstos no art. 5º da Lei Complementar nº 101/2000;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 – anexo do orçamento de investimento a que se refere o art. 165, § 5º, inciso II, da Constituição da República, na forma definida nesta Lei.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Parágrafo único. Acompanharão a proposta orçamentária, além dos demonstrativos exigidos pela legislação em vigor, definidos no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>, os seguintes demonstrativos: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Demonstrativo da receita corrente líquida, de acordo com o art. 2º, inciso IV da Lei Complementar nº 101/2000;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lastRenderedPageBreak/>
        <w:t>II – Demonstrativo dos recursos a serem aplicados na manutenção e desenvolvimento do ensino e no ensino fundamental, para fins do atendimento do disposto no art. 212 da Constituição da República e no art. 60 do Ato das Disposições Constitucionais Transitórias;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Demonstrativo dos recursos a serem aplicados no FUNDEB – Fundo de Manutenção e Desenvolvimento da Educação Básica e de Valorização dos profissionais da Educação, para fins do atendimento ao art. 60 do ADCT, com as alterações introduzidas pela Emenda Constitucional nº 53/2006;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IV – Demonstrativo dos recursos a serem aplicados nas ações e serviços públicos de saúde, para fins do atendimento disposto na Emenda Constitucional nº 29/2000 e Lei Complementar nº 141;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 – Demonstrativo da despesa com pessoal, para fins do atendimento do disposto no art. 169 da Constituição da República e na Lei Complementar nº 101/2000.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7º A estimativa da receita e a fixação da despesa, constantes do projeto de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, serão elaboradas a valores correntes do exercício de </w:t>
      </w:r>
      <w:r w:rsidR="004B56D4">
        <w:rPr>
          <w:rFonts w:cs="Arial"/>
          <w:szCs w:val="22"/>
        </w:rPr>
        <w:t>2016</w:t>
      </w:r>
      <w:r w:rsidRPr="003F2436">
        <w:rPr>
          <w:rFonts w:cs="Arial"/>
          <w:szCs w:val="22"/>
        </w:rPr>
        <w:t>, projetados ao exercício a que se refere.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Parágrafo único. O projeto de lei orçamentária atualizará a estimativa da margem de expansão das despesas, considerando os acréscimos de receita resultantes do crescimento da economia e da evolução de outras variáveis que implicam aumento da base de cálculo, bem como de alterações na legislação tributária, devendo ser garantidas, no mínimo, as metas de resultado primário e nominal estabelecidas nesta Lei.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8º O Poder Executivo colocará à disposição do Poder Legislativo, no mínimo, trinta dias antes do prazo final para encaminhamento de sua proposta orçamentária, os estudos e as estimativas das receitas para o exercício </w:t>
      </w:r>
      <w:r w:rsidR="006F6B38" w:rsidRPr="003F2436">
        <w:rPr>
          <w:rFonts w:cs="Arial"/>
          <w:szCs w:val="22"/>
        </w:rPr>
        <w:t>subseqüente</w:t>
      </w:r>
      <w:r w:rsidRPr="003F2436">
        <w:rPr>
          <w:rFonts w:cs="Arial"/>
          <w:szCs w:val="22"/>
        </w:rPr>
        <w:t>, inclusive da corrente líquida, e as respectivas memórias de cálculo.</w:t>
      </w:r>
    </w:p>
    <w:p w:rsidR="006F6B38" w:rsidRDefault="006F6B38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Art. 9º O Poder Legislativo e as entidades da Administração Indireta encaminharão ao Setor de Planejamento (ou Órgão Central de Contabilidade) do Poder Executivo, até 31 de julho de </w:t>
      </w:r>
      <w:r w:rsidR="004B56D4">
        <w:rPr>
          <w:b w:val="0"/>
          <w:bCs w:val="0"/>
          <w:sz w:val="22"/>
          <w:szCs w:val="22"/>
        </w:rPr>
        <w:t>2016</w:t>
      </w:r>
      <w:r w:rsidRPr="003F2436">
        <w:rPr>
          <w:b w:val="0"/>
          <w:bCs w:val="0"/>
          <w:sz w:val="22"/>
          <w:szCs w:val="22"/>
        </w:rPr>
        <w:t>, suas respectivas propostas orçamentárias, para fins de consolidação do projeto de lei orçamentária.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4"/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Art. 10. Na programação da despesa não poderão ser fixadas despesas sem que estejam definidas as respectivas fontes de recursos, de forma a evitar o comprometimento do equilíbrio orçamentário entre a receita e a despesa.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</w:t>
      </w:r>
      <w:smartTag w:uri="urn:schemas-microsoft-com:office:smarttags" w:element="metricconverter">
        <w:smartTagPr>
          <w:attr w:name="ProductID" w:val="11. A"/>
        </w:smartTagPr>
        <w:r w:rsidRPr="003F2436">
          <w:rPr>
            <w:rFonts w:cs="Arial"/>
            <w:szCs w:val="22"/>
          </w:rPr>
          <w:t>11. A</w:t>
        </w:r>
      </w:smartTag>
      <w:r w:rsidRPr="003F2436">
        <w:rPr>
          <w:rFonts w:cs="Arial"/>
          <w:szCs w:val="22"/>
        </w:rPr>
        <w:t xml:space="preserve"> lei orçamentária discriminará, nos órgãos da administração direta e nas entidades da administração indireta responsáveis pelo débito, as dotações destinadas ao </w:t>
      </w:r>
      <w:r w:rsidRPr="003F2436">
        <w:rPr>
          <w:rFonts w:cs="Arial"/>
          <w:szCs w:val="22"/>
        </w:rPr>
        <w:lastRenderedPageBreak/>
        <w:t>pagamento de precatórios judiciais em cumprimento ao disposto no art. 100 da Constituição da República.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1º Para fins de acompanhamento, controle e centralização, os órgãos da administração direta e as entidades da administração indireta submeterão os processos referentes ao pagamento de precatórios à apreciação da Procuradoria do Município.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§ 2º Os recursos alocados para os fins previstos no </w:t>
      </w:r>
      <w:r w:rsidRPr="003F2436">
        <w:rPr>
          <w:b w:val="0"/>
          <w:bCs w:val="0"/>
          <w:i/>
          <w:sz w:val="22"/>
          <w:szCs w:val="22"/>
        </w:rPr>
        <w:t>caput</w:t>
      </w:r>
      <w:r w:rsidRPr="003F2436">
        <w:rPr>
          <w:b w:val="0"/>
          <w:bCs w:val="0"/>
          <w:sz w:val="22"/>
          <w:szCs w:val="22"/>
        </w:rPr>
        <w:t xml:space="preserve"> deste artigo não poderão ser cancelados para abertura de créditos adicionais com outra finalidade, exceto no caso de saldo orçamentário remanescente ocioso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5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Subseção 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Disposições Relativas à Dívida e ao Endividamento Público Municipal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</w:t>
      </w:r>
      <w:smartTag w:uri="urn:schemas-microsoft-com:office:smarttags" w:element="metricconverter">
        <w:smartTagPr>
          <w:attr w:name="ProductID" w:val="12. A"/>
        </w:smartTagPr>
        <w:r w:rsidRPr="003F2436">
          <w:rPr>
            <w:rFonts w:cs="Arial"/>
            <w:szCs w:val="22"/>
          </w:rPr>
          <w:t>12. A</w:t>
        </w:r>
      </w:smartTag>
      <w:r w:rsidRPr="003F2436">
        <w:rPr>
          <w:rFonts w:cs="Arial"/>
          <w:szCs w:val="22"/>
        </w:rPr>
        <w:t xml:space="preserve"> administração da dívida pública municipal interna e/ou externa tem por objetivo principal minimizar custos, reduzir o montante da dívida pública e viabilizar fontes alternativas de recursos para o Tesouro Municipal.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1º Deverão ser garantidos, na lei orçamentária, os recursos necessários para pagamento da dívida.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2º O Município, através de seus órgãos e entidades, subordinar-se-á às normas estabelecidas na Resolução nº 40/2001 do Senado Federal, que dispõe sobre os limites globais para o montante da dívida pública consolidada e da dívida pública mobiliária, em atendimento ao disposto no art. 52, incisos VI e IX, da Constituição da República.</w:t>
      </w:r>
    </w:p>
    <w:p w:rsidR="00871D57" w:rsidRPr="003F2436" w:rsidRDefault="00871D57" w:rsidP="003F2436">
      <w:pPr>
        <w:spacing w:line="320" w:lineRule="exact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13. Na lei orçamentária para o exercício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as despesas com amortização, juros e demais encargos da dívida serão fixadas com base nas operações contratadas.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</w:t>
      </w:r>
      <w:smartTag w:uri="urn:schemas-microsoft-com:office:smarttags" w:element="metricconverter">
        <w:smartTagPr>
          <w:attr w:name="ProductID" w:val="14. A"/>
        </w:smartTagPr>
        <w:r w:rsidRPr="003F2436">
          <w:rPr>
            <w:rFonts w:cs="Arial"/>
            <w:szCs w:val="22"/>
          </w:rPr>
          <w:t>14. A</w:t>
        </w:r>
      </w:smartTag>
      <w:r w:rsidRPr="003F2436">
        <w:rPr>
          <w:rFonts w:cs="Arial"/>
          <w:szCs w:val="22"/>
        </w:rPr>
        <w:t xml:space="preserve"> lei orçamentária poderá conter autorização para contratação de operações de crédito pelo Poder Executivo, a qual ficará condicionada ao atendimento das normas estabelecidas na Lei Complementar nº 101/2000 e na Resolução nº 43/2001 do Senado Federal.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Art. </w:t>
      </w:r>
      <w:smartTag w:uri="urn:schemas-microsoft-com:office:smarttags" w:element="metricconverter">
        <w:smartTagPr>
          <w:attr w:name="ProductID" w:val="15. A"/>
        </w:smartTagPr>
        <w:r w:rsidRPr="003F2436">
          <w:rPr>
            <w:b w:val="0"/>
            <w:bCs w:val="0"/>
            <w:sz w:val="22"/>
            <w:szCs w:val="22"/>
          </w:rPr>
          <w:t>15. A</w:t>
        </w:r>
      </w:smartTag>
      <w:r w:rsidRPr="003F2436">
        <w:rPr>
          <w:b w:val="0"/>
          <w:bCs w:val="0"/>
          <w:sz w:val="22"/>
          <w:szCs w:val="22"/>
        </w:rPr>
        <w:t xml:space="preserve"> lei orçamentária poderá conter autorização para a realização de operações de crédito por antecipação de receita orçamentária, desde que observado o disposto no art. 38 da Lei Complementar nº 101/2000 e atendidas às exigências estabelecidas na Resolução nº 43/2001 do Senado Federal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6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Subseção III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 Definição de Montante e Forma de Utilização da Reserva de Contingência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Art. </w:t>
      </w:r>
      <w:smartTag w:uri="urn:schemas-microsoft-com:office:smarttags" w:element="metricconverter">
        <w:smartTagPr>
          <w:attr w:name="ProductID" w:val="16. A"/>
        </w:smartTagPr>
        <w:r w:rsidRPr="003F2436">
          <w:rPr>
            <w:b w:val="0"/>
            <w:bCs w:val="0"/>
            <w:sz w:val="22"/>
            <w:szCs w:val="22"/>
          </w:rPr>
          <w:t>16. A</w:t>
        </w:r>
      </w:smartTag>
      <w:r w:rsidRPr="003F2436">
        <w:rPr>
          <w:b w:val="0"/>
          <w:bCs w:val="0"/>
          <w:sz w:val="22"/>
          <w:szCs w:val="22"/>
        </w:rPr>
        <w:t xml:space="preserve"> lei orçamentária conterá reserva de contingência constituída exclusivamente com recursos do orçamento fiscal e será equivalente a, no mínimo, 1% (um por cento) da receita corrente líquida prevista na proposta orçamentária de </w:t>
      </w:r>
      <w:r w:rsidR="004B56D4">
        <w:rPr>
          <w:b w:val="0"/>
          <w:bCs w:val="0"/>
          <w:sz w:val="22"/>
          <w:szCs w:val="22"/>
        </w:rPr>
        <w:t>2017</w:t>
      </w:r>
      <w:r w:rsidRPr="003F2436">
        <w:rPr>
          <w:b w:val="0"/>
          <w:bCs w:val="0"/>
          <w:sz w:val="22"/>
          <w:szCs w:val="22"/>
        </w:rPr>
        <w:t>, destinada atendimento de passivos contingentes, outros riscos e eventos fiscais imprevistos e reforço das dotações orçamentárias que se tornarem insuficientes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7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color w:val="FF000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Parágrafo único - Verificada a não utilização da Reserva de contingência para os fins especificados, bem como a previsibilidade de sua não utilização até o final do exercício, o Poder Executivo poderá dela se utilizar como fonte para créditos suplementares e/ou adicionais. 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III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 Política de Pessoal e dos Serviços Extraordinários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caps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Subseção 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Disposições Sobre Política de Pessoal e Encargos Sociais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17.  Para fins de atendimento ao disposto no art. 169, § 1º, inciso II, da Constituição da República, observado o inciso I do mesmo parágrafo, ficam autorizadas as concessões de quaisquer vantagens, aumentos de remuneração, criação de cargos, empregos e funções, alterações de estrutura de carreiras, bem como admissões ou contratações de pessoal a qualquer título, desde que observado o disposto nos artigos 15, 16 e 17 da Lei Complementar nº 101/2000.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1º Além de observar as normas do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, no exercício financeiro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as despesas com pessoal dos Poderes Executivo e Legislativo deverão atender as disposições contidas nos artigos 18, 19 e 20 da Lei Complementar nº 101/2000.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§ 2º Se a despesa total com pessoal ultrapassar os limites estabelecidos no art. 19 da Lei Complementar nº 101/2000, serão adotadas as medidas de que tratam os §§ 3º e 4º do art. 169 da Constituição da República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8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Subseção 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 Previsão para Contratação Excepcional de Horas Extras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18.  Se durante o exercício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a despesa com pessoal atingir o limite de que trata o parágrafo único do art. 22 da Lei Complementar nº 101/2000, o pagamento da realização de serviço extraordinário somente poderá ocorrer quando destinada ao atendimento de relevante interesse público que ensejem situações emergenciais de risco ou de prejuízo para a sociedade.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Parágrafo único. A autorização para a realização de serviço extraordinário para atender as situações previstas no </w:t>
      </w:r>
      <w:r w:rsidRPr="003F2436">
        <w:rPr>
          <w:b w:val="0"/>
          <w:bCs w:val="0"/>
          <w:i/>
          <w:sz w:val="22"/>
          <w:szCs w:val="22"/>
        </w:rPr>
        <w:t>caput</w:t>
      </w:r>
      <w:r w:rsidRPr="003F2436">
        <w:rPr>
          <w:b w:val="0"/>
          <w:bCs w:val="0"/>
          <w:sz w:val="22"/>
          <w:szCs w:val="22"/>
        </w:rPr>
        <w:t xml:space="preserve"> deste artigo, no âmbito do Poder Executivo é de exclusiva competência do PrefeitoMunicipal e no âmbito do Poder Legislativo é de exclusiva competência do Presidente da Câmara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9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IV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Disposições Sobre a Receita e Alterações na Legislação Tributária do Município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</w:t>
      </w:r>
      <w:smartTag w:uri="urn:schemas-microsoft-com:office:smarttags" w:element="metricconverter">
        <w:smartTagPr>
          <w:attr w:name="ProductID" w:val="19. A"/>
        </w:smartTagPr>
        <w:r w:rsidRPr="003F2436">
          <w:rPr>
            <w:rFonts w:cs="Arial"/>
            <w:szCs w:val="22"/>
          </w:rPr>
          <w:t>19. A</w:t>
        </w:r>
      </w:smartTag>
      <w:r w:rsidRPr="003F2436">
        <w:rPr>
          <w:rFonts w:cs="Arial"/>
          <w:szCs w:val="22"/>
        </w:rPr>
        <w:t xml:space="preserve"> estimativa da receita que constará do projeto de lei orçamentária para o exercício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com vistas à expansão da base tributária e conseqüente aumento das receitas próprias, contemplará medidas de aperfeiçoamento da administração dos tributos municipais, dentre as quais: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aperfeiçoamento do sistema de formação, tramitação e julgamento dos processos tributário-administrativos, visando à racionalização, simplificação e agilização;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aperfeiçoamento dos sistemas de fiscalização, cobrança e arrecadação de tributos, objetivando a sua maior exatidão;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aperfeiçoamento dos processos tributário-administrativos, por meio da revisão e racionalização das rotinas e processos, objetivando a modernização, a padronização de atividades, a melhoria dos controles internos e a eficiência na prestação de serviços;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IV – aplicação das penalidades fiscais como instrumento inibitório da prática de infração da legislação tributária.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</w:t>
      </w:r>
      <w:smartTag w:uri="urn:schemas-microsoft-com:office:smarttags" w:element="metricconverter">
        <w:smartTagPr>
          <w:attr w:name="ProductID" w:val="20. A"/>
        </w:smartTagPr>
        <w:r w:rsidRPr="003F2436">
          <w:rPr>
            <w:rFonts w:cs="Arial"/>
            <w:szCs w:val="22"/>
          </w:rPr>
          <w:t>20. A</w:t>
        </w:r>
      </w:smartTag>
      <w:r w:rsidRPr="003F2436">
        <w:rPr>
          <w:rFonts w:cs="Arial"/>
          <w:szCs w:val="22"/>
        </w:rPr>
        <w:t xml:space="preserve"> estimativa da receita de que trata o artigo anterior levará em consideração, adicionalmente, o impacto de alteração na legislação tributária, com destaque para: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atualização da planta genérica de valores do Município;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revisão, atualização ou adequação da legislação sobre Imposto Predial e Territorial Urbano, suas alíquotas, forma de cálculo, condições de pagamentos, descontos e isenções, inclusive com relação à progressividade deste imposto;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revisão da legislação sobre o uso do solo, com redefinição dos limites da zona urbana municipal;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IV – revisão da legislação referente ao Imposto Sobre Serviços de Qualquer Natureza;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 – revisão da legislação aplicável ao Imposto sobre Transmissão Inter vivos de Bens Imóveis e de Direitos Reais sobre Imóveis;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 – instituição de taxas pela utilização efetiva ou potencial de serviços públicos específicos e divisíveis, prestados ao contribuinte ou postos a sua disposição;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VII – revisão da legislação sobre as taxas pelo exercício do poder de polícia;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VIII – revisão das isenções dos tributos municipais, para manter o interesse público e a justiça fiscal;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IX – instituição, por lei específica, da Contribuição de Melhoria com a finalidade de tornar exeqüível a sua cobrança;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X – a instituição de novos tributos ou a modificação, em decorrência de alterações legais, daqueles já instituídos.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21. O projeto de lei que conceda ou amplie incentivo ou benefício de natureza tributária somente será aprovado se atendidas às exigências do art. 14 da Lei Complementar nº 101/2000.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22. Na estimativa das receitas do projeto de lei orçamentária poderão ser considerados os efeitos de propostas de alterações na legislação tributária que estejam em tramitação na Câmara Municipal.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V</w:t>
      </w:r>
    </w:p>
    <w:p w:rsidR="00871D57" w:rsidRPr="00207270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207270">
        <w:rPr>
          <w:bCs w:val="0"/>
          <w:caps/>
          <w:sz w:val="22"/>
          <w:szCs w:val="22"/>
        </w:rPr>
        <w:t>Do Equilíbrio Entre Receitas e Despesas</w:t>
      </w:r>
    </w:p>
    <w:p w:rsidR="00871D57" w:rsidRPr="00713BEB" w:rsidRDefault="00871D57" w:rsidP="003F2436">
      <w:pPr>
        <w:pStyle w:val="Corpodetexto3"/>
        <w:spacing w:line="320" w:lineRule="exact"/>
        <w:jc w:val="center"/>
        <w:rPr>
          <w:b w:val="0"/>
          <w:bCs w:val="0"/>
          <w:caps/>
          <w:sz w:val="22"/>
          <w:szCs w:val="22"/>
        </w:rPr>
      </w:pP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 xml:space="preserve">Art. </w:t>
      </w:r>
      <w:smartTag w:uri="urn:schemas-microsoft-com:office:smarttags" w:element="metricconverter">
        <w:smartTagPr>
          <w:attr w:name="ProductID" w:val="23. A"/>
        </w:smartTagPr>
        <w:r w:rsidRPr="00713BEB">
          <w:rPr>
            <w:rFonts w:cs="Arial"/>
            <w:szCs w:val="22"/>
          </w:rPr>
          <w:t>23. A</w:t>
        </w:r>
      </w:smartTag>
      <w:r w:rsidRPr="00713BEB">
        <w:rPr>
          <w:rFonts w:cs="Arial"/>
          <w:szCs w:val="22"/>
        </w:rPr>
        <w:t xml:space="preserve"> elaboração do projeto, a aprovação e a execução da lei orçamentária do exercício de </w:t>
      </w:r>
      <w:r w:rsidR="004B56D4">
        <w:rPr>
          <w:rFonts w:cs="Arial"/>
          <w:szCs w:val="22"/>
        </w:rPr>
        <w:t>2017</w:t>
      </w:r>
      <w:r w:rsidRPr="00713BEB">
        <w:rPr>
          <w:rFonts w:cs="Arial"/>
          <w:szCs w:val="22"/>
        </w:rPr>
        <w:t xml:space="preserve"> serão orientadas no sentido de alcançar o superávit primário necessário para garantir uma trajetória de solidez financeira da administração municipal, conforme discriminado no Anexo de Metas Fiscais, constante desta Lei.</w:t>
      </w: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 xml:space="preserve">Art. 24. Os projetos de lei que impliquem em diminuição de receita ou aumento de despesa do Município no exercício de </w:t>
      </w:r>
      <w:r w:rsidR="004B56D4">
        <w:rPr>
          <w:rFonts w:cs="Arial"/>
          <w:szCs w:val="22"/>
        </w:rPr>
        <w:t>2017</w:t>
      </w:r>
      <w:r w:rsidRPr="00713BEB">
        <w:rPr>
          <w:rFonts w:cs="Arial"/>
          <w:szCs w:val="22"/>
        </w:rPr>
        <w:t xml:space="preserve"> deverão estar acompanhados de demonstrativos que discriminem o montante estimado da diminuição da receita ou do aumento da despesa, para cada um dos exercícios compreendidos no período de </w:t>
      </w:r>
      <w:r w:rsidR="004B56D4">
        <w:rPr>
          <w:rFonts w:cs="Arial"/>
          <w:szCs w:val="22"/>
        </w:rPr>
        <w:t>2017</w:t>
      </w:r>
      <w:r w:rsidRPr="00713BEB">
        <w:rPr>
          <w:rFonts w:cs="Arial"/>
          <w:szCs w:val="22"/>
        </w:rPr>
        <w:t xml:space="preserve"> a 2017, demonstrando a memória de cálculo respectiva.</w:t>
      </w: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>Parágrafo único. Não será aprovado projeto de lei que implique em aumento de despesa sem que estejam acompanhados das medidas definidas nos artigos. 16 e 17 da Lei Complementar nº 101/2000.</w:t>
      </w: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>Art. 25. As estratégias para busca ou manutenção do equilíbrio entre as receitas e despesas poderão levar em conta as seguintes medidas:</w:t>
      </w: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>I – para elevação das receitas:</w:t>
      </w: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>a) a implementação das medidas previstas nos artigos. 20 e 21 desta Lei;</w:t>
      </w: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>b) atualização e informatização do cadastro imobiliário;</w:t>
      </w:r>
    </w:p>
    <w:p w:rsidR="00871D57" w:rsidRPr="00713BEB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713BEB">
        <w:rPr>
          <w:rFonts w:cs="Arial"/>
          <w:szCs w:val="22"/>
        </w:rPr>
        <w:t>c) chamamento geral dos contribuintes inscritos na Dívida Ativa.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para redução das despesas: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a) utilização da modalidade de licitação denominada pregão e implantação de rigorosa pesquisa de preços, de forma a baratear toda e qualquer compra e evitar a cartelização dos fornecedores;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  <w:vertAlign w:val="superscript"/>
        </w:rPr>
      </w:pPr>
      <w:r w:rsidRPr="003F2436">
        <w:rPr>
          <w:rFonts w:cs="Arial"/>
          <w:szCs w:val="22"/>
        </w:rPr>
        <w:t>b) revisão geral das gratificações concedidas aos servidores</w:t>
      </w:r>
      <w:r w:rsidRPr="003F2436">
        <w:rPr>
          <w:rFonts w:cs="Arial"/>
          <w:szCs w:val="22"/>
          <w:vertAlign w:val="superscript"/>
        </w:rPr>
        <w:footnoteReference w:id="10"/>
      </w:r>
      <w:r w:rsidRPr="003F2436">
        <w:rPr>
          <w:rFonts w:cs="Arial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jc w:val="center"/>
        <w:rPr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VI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Dos Critérios e Formas de Limitação de Empenho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26. Na hipótese de ocorrência das circunstâncias estabelecidas no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 do artigo 9º, e no inciso II do § 1º do artigo 31, da Lei Complementar nº 101/2000, o Poder Executivo e o Poder Legislativo procederão à respectiva limitação de empenho e de movimentação financeira, mediante, pela ordem, aos seguintes critérios: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- Redução de diárias de viagem e de horas-extras;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- Redução de, pelo menos, 20% (vinte por cento) dos cargos de comissão e funções de confiança;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- Redução de pelo menos 20% (vinte por cento) do quadro de contratados.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1º Excluem-se da limitação prevista no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 deste artigo: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as despesas com pessoal e encargos sociais;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as despesas com benefícios previdenciários;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as despesas com amortização, juros e encargos da dívida;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IV – as despesas com PASEP;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 – as despesas com o pagamento de precatórios e sentenças judiciais;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VI – as demais despesas que constituam obrigação constitucional e legal.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2º O Poder Executivo comunicará ao Poder Legislativo o montante que lhe caberá tornar indisponível para empenho e movimentação financeira, conforme proporção estabelecida no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 deste artigo.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3º Os Poderes Executivo e Legislativo, com base na comunicação de que trata o parágrafo anterior, emitirão e publicarão ato próprio estabelecendo os montantes que caberão aos respectivos órgãos e entidades na limitação do empenho e da movimentação financeira.</w:t>
      </w:r>
    </w:p>
    <w:p w:rsidR="006F6B38" w:rsidRDefault="006F6B38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§ 4º Se verificado, ao final de um bimestre, que a realização da receita não será suficiente para garantir o equilíbrio das contas públicas, adotar-se-ão as mesmas medidas previstas neste artigo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11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6F6B38" w:rsidRDefault="006F6B38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VII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Normas Relativas ao Controle de Custos e Avaliação dos Resultados dos Programas Financiados com Recursos dos Orçamentos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27.  O Poder Executivo realizará estudos visando a definição de sistema de controle de custos e a avaliação do resultado dos programas de governo.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28. Além de observar as demais diretrizes estabelecidas nesta Lei, a alocação dos recursos na lei orçamentária e em seus créditos adicionais, bem como a respectiva execução, serão feitas de forma a propiciar o controle de custos e a avaliação dos resultados dos programas de governo.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1º 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e seus créditos adicionais deverão agregar todas as ações governamentais necessárias ao cumprimento dos objetivos dos respectivos programas, sendo que as ações governamentais que não contribuírem para a realização de um programa específico deverão ser agregadas num programa denominado “Apoio Administrativo” ou de finalidade semelhante.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2º Merecerá destaque o aprimoramento da gestão orçamentária, financeira e patrimonial, por intermédio da modernização dos instrumentos de planejamento, execução, avaliação e controle interno.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§ 3º O Poder Executivo promoverá amplo esforço de redução de custos, otimização de gastos e reordenamento de despesas do setor público municipal, sobretudo pelo aumento da produtividade na prestação de serviços públicos e sociais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12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VIII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Condições e Exigências para Transferências de Recursos a Entidades Públicas e Privadas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29. É vedada a inclusão, na lei orçamentária e em seus créditos adicionais, de dotações a título de subvenções sociais, ressalvadas as autorizadas mediante lei específica que sejam destinadas: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às entidades que prestem atendimento direto ao público, de forma gratuita, nas áreas de assistência social, saúde, educação ou cultura;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às entidades sem fins lucrativos que realizem atividades de natureza continuada;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às entidades que tenham sido declaradas por lei como sendo de utilidade pública.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Parágrafo único. Para habilitar-se ao recebimento de subvenções sociais, a entidade privada sem fins lucrativos deverá apresentar declaração de regular funcionamento, emitida no exercício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por, no mínimo, uma autoridade local, e comprovante da regularidade do mandato de sua diretoria.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30. É vedada a inclusão, na lei orçamentária e em seus créditos adicionais, de dotações a título de auxílios e contribuições para entidades públicas e/ou privadas, ressalvadas as autorizadas mediante lei específica e desde que sejam: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de atendimento direto e gratuito ao público, voltadas para as ações relativas ao ensino, saúde, cultura, assistência social, agropecuária e de proteção ao meio ambiente;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associações ou consórcios intermunicipais, constituídos exclusivamente por entes públicos, legalmente instituídos e signatários de contrato de gestão com a administração pública municipal, e que participem da execução de programas municipais.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31. É vedada a inclusão, na lei orçamentária e em seus créditos adicionais, de dotações a título de contribuições para entidades privadas de fins lucrativos, ressalvadas as instituídas por lei específica no âmbito do Município que sejam destinadas aos programas de desenvolvimento industrial.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32. É vedada a inclusão, na lei orçamentária e em seus créditos adicionais, de dotação para a realização de transferência financeira a outro ente da federação, exceto para atender as situações que envolvam claramente o atendimento de interesses locais, observadas as exigências do art. 25 da Lei Complementar nº 101/2000.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33. As entidades beneficiadas com os recursos públicos previstos nesta Seção, a qualquer título, submeter-se-ão à fiscalização do Poder Executivo com a finalidade de verificar o cumprimento dos objetivos para os quais receberam os recursos.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34. As transferências de recursos às entidades previstas nos arts. </w:t>
      </w:r>
      <w:smartTag w:uri="urn:schemas-microsoft-com:office:smarttags" w:element="metricconverter">
        <w:smartTagPr>
          <w:attr w:name="ProductID" w:val="29 a"/>
        </w:smartTagPr>
        <w:r w:rsidRPr="003F2436">
          <w:rPr>
            <w:rFonts w:cs="Arial"/>
            <w:szCs w:val="22"/>
          </w:rPr>
          <w:t>29 a</w:t>
        </w:r>
      </w:smartTag>
      <w:r w:rsidRPr="003F2436">
        <w:rPr>
          <w:rFonts w:cs="Arial"/>
          <w:szCs w:val="22"/>
        </w:rPr>
        <w:t xml:space="preserve"> 32 desta Seção deverão ser precedidas da aprovação de plano de trabalho e da celebração de convênio, devendo ser observadas na elaboração de tais instrumentos as exigências do art. 116 da Lei nº 8.666/1993, ou de outra Lei que vier substituí-la ou alterá-la.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1º Compete ao órgão ou entidade concedente o acompanhamento da realização do plano de trabalho executado com recursos transferidos pelo Município.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2º É vedada a celebração de convênio com entidade em situação irregular com o Município, em decorrência de transferência feita anteriormente.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3º Excetuam-se do cumprimento dos dispositivos legais a que se refere o caput deste artigo as caixas escolares da rede pública municipal de ensino que receberem recursos diretamente do Governo Federal por meio do PDDE – Programa Dinheiro Direto na Escola.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35. É vedada a destinação, na lei orçamentária e em seus créditos adicionais, de recursos para diretamente cobrir necessidades de pessoas físicas, ressalvadas as que atendam as exigências do art. 26 da Lei Complementar nº 101/2000 e sejam observadas as condições definidas na lei específica.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Parágrafo único. As normas do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 deste artigo não se aplicam a ajuda a pessoas físicas custeadas pelos recursos do Sistema Único de Saúde.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</w:t>
      </w:r>
      <w:smartTag w:uri="urn:schemas-microsoft-com:office:smarttags" w:element="metricconverter">
        <w:smartTagPr>
          <w:attr w:name="ProductID" w:val="36. A"/>
        </w:smartTagPr>
        <w:r w:rsidRPr="003F2436">
          <w:rPr>
            <w:rFonts w:cs="Arial"/>
            <w:szCs w:val="22"/>
          </w:rPr>
          <w:t>36. A</w:t>
        </w:r>
      </w:smartTag>
      <w:r w:rsidRPr="003F2436">
        <w:rPr>
          <w:rFonts w:cs="Arial"/>
          <w:szCs w:val="22"/>
        </w:rPr>
        <w:t xml:space="preserve"> transferência de recursos financeiros de uma entidade para outra, inclusive da Prefeitura Municipal para as entidades da Administração Indireta e para a Câmara Municipal, fica limitada ao valor previsto na lei orçamentária anual e em seus créditos adicionais.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Parágrafo único. O aumento da transferência de recursos financeiros de uma entidade para outra somente poderá ocorrer mediante prévia autorização legislativa, conforme determina o art. 167, inciso VI da Constituição da República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13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IX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 Autorização para o Município Auxiliar no Custeio de Despesas de Competência de Outros Entes da Federação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37. É vedada a inclusão, na lei orçamentária e em seus créditos adicionais, de dotações para que o Município contribua para o custeio de despesas de competência de outro ente da federação, ressalvadas as autorizadas mediante lei específica e que sejam destinadas ao atendimento das situações que envolvam claramente o interesse local.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Parágrafo único. A realização da despesa definida no </w:t>
      </w:r>
      <w:r w:rsidRPr="003F2436">
        <w:rPr>
          <w:b w:val="0"/>
          <w:bCs w:val="0"/>
          <w:i/>
          <w:sz w:val="22"/>
          <w:szCs w:val="22"/>
        </w:rPr>
        <w:t>caput</w:t>
      </w:r>
      <w:r w:rsidRPr="003F2436">
        <w:rPr>
          <w:b w:val="0"/>
          <w:bCs w:val="0"/>
          <w:sz w:val="22"/>
          <w:szCs w:val="22"/>
        </w:rPr>
        <w:t xml:space="preserve"> deste artigo deverá ser precedida da aprovação de plano de trabalho e da celebração de convênio, de acordo com o art. 116 da Lei Federal nº 8.666/1993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14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X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Dos Parâmetros para a Elaboração da Programação Financeira e do Cronograma Mensal de Desembolso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38. O Poder Executivo estabelecerá por ato próprio, até 30 (trinta) dias após a publicação da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as metas bimestrais de arrecadação, a programação financeira e o cronograma mensal de desembolso, respectivamente, nos termos dos artigos 13 e 8º da Lei Complementar nº 101/2000.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1º. Para atender ao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 deste artigo, as entidades da administração indireta e o Poder Legislativo encaminharão ao Órgão Central de Contabilidade do Município, até 15 (quinze) dias após a publicação da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os seguintes demonstrativos: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as metas mensais de arrecadação de receitas, de forma a atender o disposto no art. 13 da Lei Complementar nº 101/2000;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a programação financeira das despesas, nos termos do art. 8º da Lei Complementar nº 101/2000;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o cronograma mensal de desembolso, incluídos os pagamentos dos restos a pagar, nos termos do art. 8º da Lei Complementar nº 101/2000.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2º O Poder Executivo deverá dar publicidade às metas bimestrais de arrecadação, à programação financeira e ao cronograma mensal de desembolso, no órgão oficial de publicação do Município até 30 (trinta) dias após a publicação da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§ 3º A programação financeira e o cronograma mensal de desembolso de que trata o </w:t>
      </w:r>
      <w:r w:rsidRPr="003F2436">
        <w:rPr>
          <w:b w:val="0"/>
          <w:bCs w:val="0"/>
          <w:i/>
          <w:sz w:val="22"/>
          <w:szCs w:val="22"/>
        </w:rPr>
        <w:t>caput</w:t>
      </w:r>
      <w:r w:rsidRPr="003F2436">
        <w:rPr>
          <w:b w:val="0"/>
          <w:bCs w:val="0"/>
          <w:sz w:val="22"/>
          <w:szCs w:val="22"/>
        </w:rPr>
        <w:t xml:space="preserve"> deste artigo deverão ser elaborados de forma a garantir o cumprimento da meta de resultado primário estabelecida nesta Lei.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XI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 Definição de Critérios para Início de Novos Projetos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39.  Além da observância das metas e prioridades definidas nos termos do artigo 2º desta Lei, 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e seus créditos adicionais, observado o disposto no art. 45 da Lei Complementar nº 101/2000, somente incluirão projetos novos se: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estiverem compatíveis com o Plano Plurianual e com as normas desta Lei;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as dotações consignadas às obras já iniciadas forem suficientes para o atendimento de seu cronograma físico-financeiro;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estiverem preservados os recursos necessários à conservação do patrimônio público;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IV – os recursos alocados destinarem-se a contrapartidas de recursos federais, estaduais ou de operações de crédito.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Parágrafo único. Considera-se projeto em andamento para os efeitos desta Lei, aquele cuja execução iniciar-se até a data de encaminhamento da proposta orçamentária de </w:t>
      </w:r>
      <w:r w:rsidR="004B56D4">
        <w:rPr>
          <w:b w:val="0"/>
          <w:bCs w:val="0"/>
          <w:sz w:val="22"/>
          <w:szCs w:val="22"/>
        </w:rPr>
        <w:t>2017</w:t>
      </w:r>
      <w:r w:rsidRPr="003F2436">
        <w:rPr>
          <w:b w:val="0"/>
          <w:bCs w:val="0"/>
          <w:sz w:val="22"/>
          <w:szCs w:val="22"/>
        </w:rPr>
        <w:t xml:space="preserve">, cujo cronograma de execução ultrapasse o término do exercício de </w:t>
      </w:r>
      <w:r w:rsidR="004B56D4">
        <w:rPr>
          <w:b w:val="0"/>
          <w:bCs w:val="0"/>
          <w:sz w:val="22"/>
          <w:szCs w:val="22"/>
        </w:rPr>
        <w:t>2017</w:t>
      </w:r>
      <w:r w:rsidRPr="003F2436">
        <w:rPr>
          <w:b w:val="0"/>
          <w:bCs w:val="0"/>
          <w:sz w:val="22"/>
          <w:szCs w:val="22"/>
        </w:rPr>
        <w:t>.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15"/>
      </w:r>
    </w:p>
    <w:p w:rsidR="00871D57" w:rsidRPr="003F2436" w:rsidRDefault="00871D57" w:rsidP="003F2436">
      <w:pPr>
        <w:pStyle w:val="Corpodetexto3"/>
        <w:spacing w:line="320" w:lineRule="exact"/>
        <w:rPr>
          <w:b w:val="0"/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XII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 Definição das Despesas Consideradas Irrelevantes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Art. 40. Para fins do disposto no § 3º do art. 16 da Lei Complementar nº 101/2000, são consideradas despesas irrelevantes aquelas cujo valor não ultrapasse a importância de R$ 8.000,00 (oito mil reais).</w:t>
      </w:r>
      <w:r w:rsidRPr="003F2436">
        <w:rPr>
          <w:b w:val="0"/>
          <w:bCs w:val="0"/>
          <w:sz w:val="22"/>
          <w:szCs w:val="22"/>
          <w:vertAlign w:val="superscript"/>
        </w:rPr>
        <w:footnoteReference w:id="16"/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XIII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Do Incentivo à Participação Popular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41. O projeto de lei orçamentária do Município, relativo ao exercício financeiro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deverá assegurar a transparência na elaboração e execução do orçamento.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Parágrafo único. O princípio da transparência implica, além da observância do princípio constitucional da publicidade, na utilização dos meios disponíveis para garantir o efetivo acesso dos munícipes às informações relativas ao orçamento.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42. Será assegurada ao cidadão a participação nas audiências públicas para: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I – elaboração da proposta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mediante regular processo de consulta;</w:t>
      </w: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caps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>II – avaliação das metas fiscais, conforme definido no art. 9º, § 4º, da Lei Complementar nº 101/2000, ocasião em que o Poder Executivo demonstrará o comportamento das metas previstasnesta Lei.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6"/>
        <w:jc w:val="center"/>
        <w:rPr>
          <w:rFonts w:ascii="Arial" w:hAnsi="Arial" w:cs="Arial"/>
          <w:b/>
          <w:caps/>
          <w:sz w:val="22"/>
          <w:szCs w:val="22"/>
        </w:rPr>
      </w:pPr>
      <w:r w:rsidRPr="003F2436">
        <w:rPr>
          <w:rFonts w:ascii="Arial" w:hAnsi="Arial" w:cs="Arial"/>
          <w:b/>
          <w:caps/>
          <w:sz w:val="22"/>
          <w:szCs w:val="22"/>
        </w:rPr>
        <w:t>Seção XIV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  <w:r w:rsidRPr="003F2436">
        <w:rPr>
          <w:bCs w:val="0"/>
          <w:caps/>
          <w:sz w:val="22"/>
          <w:szCs w:val="22"/>
        </w:rPr>
        <w:t>Das Disposições Gerais</w:t>
      </w:r>
    </w:p>
    <w:p w:rsidR="00871D57" w:rsidRPr="003F2436" w:rsidRDefault="00871D57" w:rsidP="003F2436">
      <w:pPr>
        <w:pStyle w:val="Corpodetexto3"/>
        <w:spacing w:line="320" w:lineRule="exact"/>
        <w:jc w:val="center"/>
        <w:rPr>
          <w:bCs w:val="0"/>
          <w:caps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43. O Poder Executivo poderá, mediante decreto, transpor, remanejar, transferir ou utilizar, total ou parcialmente, as dotações orçamentárias aprovadas na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e em seus créditos adicionais, em decorrência de extinção, transformação, transferência, incorporação ou desmembramento de órgãos e entidades, bem como de alterações de suas competências ou atribuições, mantida a estrutura programática, expressa por categoria de programação, conforme definida no art. 3º, desta Lei.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color w:val="FF0000"/>
          <w:szCs w:val="22"/>
        </w:rPr>
      </w:pPr>
      <w:r w:rsidRPr="003F2436">
        <w:rPr>
          <w:rFonts w:cs="Arial"/>
          <w:szCs w:val="22"/>
        </w:rPr>
        <w:t xml:space="preserve">§ 1º As categorias de programação, aprovadas na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e em seus créditos adicionais, poderão ser modificadas, por meio de </w:t>
      </w:r>
      <w:r w:rsidR="00F40064">
        <w:rPr>
          <w:rFonts w:cs="Arial"/>
          <w:szCs w:val="22"/>
        </w:rPr>
        <w:t>decreto</w:t>
      </w:r>
      <w:r w:rsidRPr="003F2436">
        <w:rPr>
          <w:rFonts w:cs="Arial"/>
          <w:szCs w:val="22"/>
        </w:rPr>
        <w:t xml:space="preserve"> para atender às necessidades de execução, desde que verificada a inviabilidade técnica, operacional</w:t>
      </w:r>
      <w:r w:rsidR="00E3671B">
        <w:rPr>
          <w:rFonts w:cs="Arial"/>
          <w:szCs w:val="22"/>
        </w:rPr>
        <w:t>, administrativa</w:t>
      </w:r>
      <w:r w:rsidRPr="003F2436">
        <w:rPr>
          <w:rFonts w:cs="Arial"/>
          <w:szCs w:val="22"/>
        </w:rPr>
        <w:t xml:space="preserve"> ou econômica da execução do crédito, criando, quando necessário, novas naturezas de despesa. 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2º As modificações a que se refere este artigo também poderão ocorrer quando da abertura de créditos suplementares autorizados na lei orçamentária, os quais deverão ser abertos mediante decreto do Poder Executivo.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  <w:r w:rsidRPr="003F2436">
        <w:rPr>
          <w:rFonts w:ascii="Arial" w:hAnsi="Arial" w:cs="Arial"/>
          <w:sz w:val="22"/>
          <w:szCs w:val="22"/>
        </w:rPr>
        <w:t xml:space="preserve">Art. </w:t>
      </w:r>
      <w:smartTag w:uri="urn:schemas-microsoft-com:office:smarttags" w:element="metricconverter">
        <w:smartTagPr>
          <w:attr w:name="ProductID" w:val="44. A"/>
        </w:smartTagPr>
        <w:r w:rsidRPr="003F2436">
          <w:rPr>
            <w:rFonts w:ascii="Arial" w:hAnsi="Arial" w:cs="Arial"/>
            <w:sz w:val="22"/>
            <w:szCs w:val="22"/>
          </w:rPr>
          <w:t>44. A</w:t>
        </w:r>
      </w:smartTag>
      <w:r w:rsidRPr="003F2436">
        <w:rPr>
          <w:rFonts w:ascii="Arial" w:hAnsi="Arial" w:cs="Arial"/>
          <w:sz w:val="22"/>
          <w:szCs w:val="22"/>
        </w:rPr>
        <w:t xml:space="preserve"> abertura de créditos suplementares e especiais dependerá de prévia autorização legislativa e da existência de recursos disponíveis para cobrir a despesa, nos termos da Lei Federal nº 4.320/1964 e da Constituição da República.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  <w:r w:rsidRPr="003F2436">
        <w:rPr>
          <w:rFonts w:ascii="Arial" w:hAnsi="Arial" w:cs="Arial"/>
          <w:sz w:val="22"/>
          <w:szCs w:val="22"/>
        </w:rPr>
        <w:t>§ 1º A lei orçamentária conterá autorização e disporá sobre o limite para a abertura de créditos adicionais suplementares.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  <w:r w:rsidRPr="003F2436">
        <w:rPr>
          <w:rFonts w:ascii="Arial" w:hAnsi="Arial" w:cs="Arial"/>
          <w:sz w:val="22"/>
          <w:szCs w:val="22"/>
        </w:rPr>
        <w:t>§ 2º Acompanharão os projetos de lei relativos a créditos adicionais exposições de motivos circunstanciadas que os justifiquem e que indiquem as consequências dos cancelamentos de dotações propostos.</w:t>
      </w:r>
    </w:p>
    <w:p w:rsidR="006F6B38" w:rsidRDefault="006F6B38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  <w:r w:rsidRPr="003F2436">
        <w:rPr>
          <w:rFonts w:ascii="Arial" w:hAnsi="Arial" w:cs="Arial"/>
          <w:sz w:val="22"/>
          <w:szCs w:val="22"/>
        </w:rPr>
        <w:t xml:space="preserve">Art. </w:t>
      </w:r>
      <w:smartTag w:uri="urn:schemas-microsoft-com:office:smarttags" w:element="metricconverter">
        <w:smartTagPr>
          <w:attr w:name="ProductID" w:val="45. A"/>
        </w:smartTagPr>
        <w:r w:rsidRPr="003F2436">
          <w:rPr>
            <w:rFonts w:ascii="Arial" w:hAnsi="Arial" w:cs="Arial"/>
            <w:sz w:val="22"/>
            <w:szCs w:val="22"/>
          </w:rPr>
          <w:t>45. A</w:t>
        </w:r>
      </w:smartTag>
      <w:r w:rsidRPr="003F2436">
        <w:rPr>
          <w:rFonts w:ascii="Arial" w:hAnsi="Arial" w:cs="Arial"/>
          <w:sz w:val="22"/>
          <w:szCs w:val="22"/>
        </w:rPr>
        <w:t xml:space="preserve"> reabertura dos créditos especiais e extraordinários, conforme disposto no art. 167, § 2º, da Constituição da República, será efetivada mediante decreto do Prefeito Municipal, utilizando os recursos previstos no art. 43 da Lei Federal nº. 4.320/1964.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color w:val="FF0000"/>
          <w:szCs w:val="22"/>
        </w:rPr>
      </w:pPr>
      <w:r w:rsidRPr="003F2436">
        <w:rPr>
          <w:rFonts w:cs="Arial"/>
          <w:szCs w:val="22"/>
        </w:rPr>
        <w:t xml:space="preserve">Art. 46. O Poder Executivo deverá encaminhar mensagem ao Poder Legislativo para propor modificações no projeto de lei orçamentária anual enquanto não iniciada a sua votação, no tocante as partes cuja alteração é proposta. 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Art. 47.  Se o projeto de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não for sancionado pelo Prefeito até 31 de dezembro de </w:t>
      </w:r>
      <w:r w:rsidR="004B56D4">
        <w:rPr>
          <w:rFonts w:cs="Arial"/>
          <w:szCs w:val="22"/>
        </w:rPr>
        <w:t>2016</w:t>
      </w:r>
      <w:r w:rsidRPr="003F2436">
        <w:rPr>
          <w:rFonts w:cs="Arial"/>
          <w:szCs w:val="22"/>
        </w:rPr>
        <w:t>, a programação dele constante poderá ser executada para o atendimento das seguintes despesas: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 – pessoal e encargos sociais;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benefícios previdenciários;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III – amortização, juros e encargos da dívida;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  <w:lang w:val="es-ES_tradnl"/>
        </w:rPr>
      </w:pPr>
      <w:r w:rsidRPr="003F2436">
        <w:rPr>
          <w:rFonts w:cs="Arial"/>
          <w:szCs w:val="22"/>
          <w:lang w:val="es-ES_tradnl"/>
        </w:rPr>
        <w:t>IV – PIS-PASEP;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V – demais despesas que constituem obrigações constitucionais ou legais do Município;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bookmarkStart w:id="1" w:name="art72v"/>
      <w:bookmarkEnd w:id="1"/>
      <w:r w:rsidRPr="003F2436">
        <w:rPr>
          <w:rFonts w:cs="Arial"/>
          <w:szCs w:val="22"/>
        </w:rPr>
        <w:t>VI – outras despesas correntes de caráter inadiável.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§ 1</w:t>
      </w:r>
      <w:proofErr w:type="gramStart"/>
      <w:r w:rsidRPr="003F2436">
        <w:rPr>
          <w:rFonts w:cs="Arial"/>
          <w:szCs w:val="22"/>
        </w:rPr>
        <w:t>º  As</w:t>
      </w:r>
      <w:proofErr w:type="gramEnd"/>
      <w:r w:rsidRPr="003F2436">
        <w:rPr>
          <w:rFonts w:cs="Arial"/>
          <w:szCs w:val="22"/>
        </w:rPr>
        <w:t xml:space="preserve"> despesas descritas no inciso VI deste artigo estão limitadas à 1/12 (um doze avos) do total de cada ação prevista no projeto de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>, multiplicado pelo número de meses decorridos até a sanção da respectiva lei.</w:t>
      </w:r>
    </w:p>
    <w:p w:rsidR="006F6B38" w:rsidRDefault="006F6B38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 xml:space="preserve">§ 2º  Na execução de outras despesas correntes de caráter inadiável, a que se refere o inciso VI do </w:t>
      </w:r>
      <w:r w:rsidRPr="003F2436">
        <w:rPr>
          <w:rFonts w:cs="Arial"/>
          <w:i/>
          <w:szCs w:val="22"/>
        </w:rPr>
        <w:t>caput</w:t>
      </w:r>
      <w:r w:rsidRPr="003F2436">
        <w:rPr>
          <w:rFonts w:cs="Arial"/>
          <w:szCs w:val="22"/>
        </w:rPr>
        <w:t xml:space="preserve">, o ordenador de despesa poderá considerar os valores constantes do projeto de lei orçamentária de </w:t>
      </w:r>
      <w:r w:rsidR="004B56D4">
        <w:rPr>
          <w:rFonts w:cs="Arial"/>
          <w:szCs w:val="22"/>
        </w:rPr>
        <w:t>2017</w:t>
      </w:r>
      <w:r w:rsidRPr="003F2436">
        <w:rPr>
          <w:rFonts w:cs="Arial"/>
          <w:szCs w:val="22"/>
        </w:rPr>
        <w:t xml:space="preserve"> para fins do cumprimento do disposto no </w:t>
      </w:r>
      <w:hyperlink r:id="rId6" w:anchor="art16" w:history="1">
        <w:r w:rsidRPr="003F2436">
          <w:rPr>
            <w:rFonts w:cs="Arial"/>
            <w:szCs w:val="22"/>
          </w:rPr>
          <w:t>art. 16 da Lei Complementar nº 101/2000</w:t>
        </w:r>
      </w:hyperlink>
      <w:r w:rsidRPr="003F2436">
        <w:rPr>
          <w:rFonts w:cs="Arial"/>
          <w:szCs w:val="22"/>
        </w:rPr>
        <w:t>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Art. 48. Em atendimento ao disposto no art. 4º, §§ 1º, 2º e 3º da Lei Complementar nº 101/2000, integram a presente Lei os seguintes anexos: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  <w:r w:rsidRPr="003F2436">
        <w:rPr>
          <w:rFonts w:ascii="Arial" w:hAnsi="Arial" w:cs="Arial"/>
          <w:sz w:val="22"/>
          <w:szCs w:val="22"/>
        </w:rPr>
        <w:t>I – Anexo de Metas e Prioridades;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  <w:r w:rsidRPr="003F2436">
        <w:rPr>
          <w:rFonts w:ascii="Arial" w:hAnsi="Arial" w:cs="Arial"/>
          <w:sz w:val="22"/>
          <w:szCs w:val="22"/>
        </w:rPr>
        <w:t>II – Anexo de Metas Fiscais</w:t>
      </w:r>
      <w:r w:rsidR="00327713">
        <w:rPr>
          <w:rFonts w:ascii="Arial" w:hAnsi="Arial" w:cs="Arial"/>
          <w:sz w:val="22"/>
          <w:szCs w:val="22"/>
        </w:rPr>
        <w:t xml:space="preserve"> (</w:t>
      </w:r>
      <w:r w:rsidR="008A75F3">
        <w:rPr>
          <w:rFonts w:ascii="Arial" w:hAnsi="Arial" w:cs="Arial"/>
          <w:sz w:val="22"/>
          <w:szCs w:val="22"/>
        </w:rPr>
        <w:t xml:space="preserve">gerados pelo sistema: </w:t>
      </w:r>
      <w:r w:rsidR="00327713">
        <w:rPr>
          <w:rFonts w:ascii="Arial" w:hAnsi="Arial" w:cs="Arial"/>
          <w:sz w:val="22"/>
          <w:szCs w:val="22"/>
        </w:rPr>
        <w:t>anexos I, II e III</w:t>
      </w:r>
      <w:r w:rsidR="008A75F3">
        <w:rPr>
          <w:rFonts w:ascii="Arial" w:hAnsi="Arial" w:cs="Arial"/>
          <w:sz w:val="22"/>
          <w:szCs w:val="22"/>
        </w:rPr>
        <w:t>)</w:t>
      </w:r>
      <w:r w:rsidRPr="003F2436">
        <w:rPr>
          <w:rFonts w:ascii="Arial" w:hAnsi="Arial" w:cs="Arial"/>
          <w:sz w:val="22"/>
          <w:szCs w:val="22"/>
        </w:rPr>
        <w:t>;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II – Anexo de Riscos Fiscais</w:t>
      </w:r>
      <w:r w:rsidR="00327713">
        <w:rPr>
          <w:rFonts w:cs="Arial"/>
          <w:szCs w:val="22"/>
        </w:rPr>
        <w:t xml:space="preserve"> (</w:t>
      </w:r>
      <w:r w:rsidR="008A75F3">
        <w:rPr>
          <w:rFonts w:cs="Arial"/>
          <w:szCs w:val="22"/>
        </w:rPr>
        <w:t xml:space="preserve">gerado pelo sistema: </w:t>
      </w:r>
      <w:r w:rsidR="00327713">
        <w:rPr>
          <w:rFonts w:cs="Arial"/>
          <w:szCs w:val="22"/>
        </w:rPr>
        <w:t>anexo IX)</w:t>
      </w:r>
      <w:r w:rsidRPr="003F2436">
        <w:rPr>
          <w:rFonts w:cs="Arial"/>
          <w:szCs w:val="22"/>
        </w:rPr>
        <w:t>.</w:t>
      </w:r>
    </w:p>
    <w:p w:rsidR="00871D57" w:rsidRPr="003F2436" w:rsidRDefault="00871D57" w:rsidP="003F2436">
      <w:pPr>
        <w:pStyle w:val="Blockquote"/>
        <w:tabs>
          <w:tab w:val="left" w:pos="9356"/>
        </w:tabs>
        <w:spacing w:before="0" w:after="0" w:line="320" w:lineRule="exact"/>
        <w:ind w:left="0" w:right="4" w:firstLine="1080"/>
        <w:jc w:val="both"/>
        <w:rPr>
          <w:rFonts w:ascii="Arial" w:hAnsi="Arial" w:cs="Arial"/>
          <w:sz w:val="22"/>
          <w:szCs w:val="22"/>
        </w:rPr>
      </w:pPr>
    </w:p>
    <w:p w:rsidR="00871D57" w:rsidRPr="003F2436" w:rsidRDefault="00871D57" w:rsidP="003F2436">
      <w:pPr>
        <w:pStyle w:val="Corpodetexto3"/>
        <w:spacing w:line="320" w:lineRule="exact"/>
        <w:ind w:firstLine="1080"/>
        <w:rPr>
          <w:b w:val="0"/>
          <w:bCs w:val="0"/>
          <w:sz w:val="22"/>
          <w:szCs w:val="22"/>
        </w:rPr>
      </w:pPr>
      <w:r w:rsidRPr="003F2436">
        <w:rPr>
          <w:b w:val="0"/>
          <w:bCs w:val="0"/>
          <w:sz w:val="22"/>
          <w:szCs w:val="22"/>
        </w:rPr>
        <w:t xml:space="preserve">Art. </w:t>
      </w:r>
      <w:r w:rsidR="00F40064">
        <w:rPr>
          <w:b w:val="0"/>
          <w:bCs w:val="0"/>
          <w:sz w:val="22"/>
          <w:szCs w:val="22"/>
        </w:rPr>
        <w:t xml:space="preserve">49 - </w:t>
      </w:r>
      <w:r w:rsidRPr="003F2436">
        <w:rPr>
          <w:b w:val="0"/>
          <w:bCs w:val="0"/>
          <w:sz w:val="22"/>
          <w:szCs w:val="22"/>
        </w:rPr>
        <w:t>Esta Lei entra em vigor na data de sua publicação</w:t>
      </w:r>
      <w:r w:rsidRPr="003F2436">
        <w:rPr>
          <w:rStyle w:val="Refdenotaderodap"/>
          <w:b w:val="0"/>
          <w:bCs w:val="0"/>
          <w:sz w:val="22"/>
          <w:szCs w:val="22"/>
        </w:rPr>
        <w:footnoteReference w:id="17"/>
      </w:r>
      <w:r w:rsidRPr="003F2436">
        <w:rPr>
          <w:b w:val="0"/>
          <w:bCs w:val="0"/>
          <w:sz w:val="22"/>
          <w:szCs w:val="22"/>
        </w:rPr>
        <w:t>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  <w:r w:rsidRPr="003F2436">
        <w:rPr>
          <w:rFonts w:cs="Arial"/>
          <w:szCs w:val="22"/>
        </w:rPr>
        <w:t>Prefeitura Municipal de Santana da Vargem,</w:t>
      </w:r>
      <w:r w:rsidR="0037427B">
        <w:rPr>
          <w:rFonts w:cs="Arial"/>
          <w:szCs w:val="22"/>
        </w:rPr>
        <w:t xml:space="preserve"> 20</w:t>
      </w:r>
      <w:r w:rsidRPr="003F2436">
        <w:rPr>
          <w:rFonts w:cs="Arial"/>
          <w:szCs w:val="22"/>
        </w:rPr>
        <w:t xml:space="preserve"> de</w:t>
      </w:r>
      <w:r w:rsidR="00F40064">
        <w:rPr>
          <w:rFonts w:cs="Arial"/>
          <w:szCs w:val="22"/>
        </w:rPr>
        <w:t xml:space="preserve"> </w:t>
      </w:r>
      <w:r w:rsidR="0037427B">
        <w:rPr>
          <w:rFonts w:cs="Arial"/>
          <w:szCs w:val="22"/>
        </w:rPr>
        <w:t>julho</w:t>
      </w:r>
      <w:r w:rsidR="00F40064">
        <w:rPr>
          <w:rFonts w:cs="Arial"/>
          <w:szCs w:val="22"/>
        </w:rPr>
        <w:t xml:space="preserve"> </w:t>
      </w:r>
      <w:r w:rsidRPr="003F2436">
        <w:rPr>
          <w:rFonts w:cs="Arial"/>
          <w:szCs w:val="22"/>
        </w:rPr>
        <w:t xml:space="preserve">de </w:t>
      </w:r>
      <w:r w:rsidR="004B56D4">
        <w:rPr>
          <w:rFonts w:cs="Arial"/>
          <w:szCs w:val="22"/>
        </w:rPr>
        <w:t>2016</w:t>
      </w:r>
      <w:r w:rsidRPr="003F2436">
        <w:rPr>
          <w:rFonts w:cs="Arial"/>
          <w:szCs w:val="22"/>
        </w:rPr>
        <w:t>.</w:t>
      </w: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871D57" w:rsidP="003F2436">
      <w:pPr>
        <w:spacing w:line="320" w:lineRule="exact"/>
        <w:ind w:firstLine="1080"/>
        <w:jc w:val="both"/>
        <w:rPr>
          <w:rFonts w:cs="Arial"/>
          <w:szCs w:val="22"/>
        </w:rPr>
      </w:pPr>
    </w:p>
    <w:p w:rsidR="00871D57" w:rsidRPr="003F2436" w:rsidRDefault="003F2436" w:rsidP="003F2436">
      <w:pPr>
        <w:pStyle w:val="Recuodecorpodetexto2"/>
        <w:spacing w:line="320" w:lineRule="exact"/>
        <w:ind w:left="0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Vitor Donizetti</w:t>
      </w:r>
      <w:r w:rsidR="00871D57" w:rsidRPr="003F2436">
        <w:rPr>
          <w:rFonts w:cs="Arial"/>
          <w:b/>
          <w:sz w:val="22"/>
          <w:szCs w:val="22"/>
        </w:rPr>
        <w:t xml:space="preserve"> Siqueira</w:t>
      </w:r>
    </w:p>
    <w:p w:rsidR="00871D57" w:rsidRPr="003F2436" w:rsidRDefault="00871D57" w:rsidP="003F2436">
      <w:pPr>
        <w:spacing w:line="320" w:lineRule="exact"/>
        <w:jc w:val="center"/>
        <w:rPr>
          <w:rFonts w:cs="Arial"/>
          <w:szCs w:val="22"/>
        </w:rPr>
      </w:pPr>
      <w:r w:rsidRPr="003F2436">
        <w:rPr>
          <w:rFonts w:cs="Arial"/>
          <w:b/>
          <w:szCs w:val="22"/>
        </w:rPr>
        <w:t>Prefeito Municipal</w:t>
      </w:r>
    </w:p>
    <w:p w:rsidR="00D245E0" w:rsidRPr="003F2436" w:rsidRDefault="00D245E0" w:rsidP="003F2436">
      <w:pPr>
        <w:spacing w:line="320" w:lineRule="exact"/>
        <w:rPr>
          <w:rFonts w:cs="Arial"/>
          <w:szCs w:val="22"/>
        </w:rPr>
      </w:pPr>
    </w:p>
    <w:sectPr w:rsidR="00D245E0" w:rsidRPr="003F2436" w:rsidSect="00B86C66">
      <w:headerReference w:type="default" r:id="rId7"/>
      <w:pgSz w:w="11907" w:h="16840" w:code="9"/>
      <w:pgMar w:top="2268" w:right="1134" w:bottom="993" w:left="1701" w:header="851" w:footer="29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713" w:rsidRDefault="00327713" w:rsidP="00871D57">
      <w:r>
        <w:separator/>
      </w:r>
    </w:p>
  </w:endnote>
  <w:endnote w:type="continuationSeparator" w:id="0">
    <w:p w:rsidR="00327713" w:rsidRDefault="00327713" w:rsidP="0087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713" w:rsidRDefault="00327713" w:rsidP="00871D57">
      <w:r>
        <w:separator/>
      </w:r>
    </w:p>
  </w:footnote>
  <w:footnote w:type="continuationSeparator" w:id="0">
    <w:p w:rsidR="00327713" w:rsidRDefault="00327713" w:rsidP="00871D57">
      <w:r>
        <w:continuationSeparator/>
      </w:r>
    </w:p>
  </w:footnote>
  <w:footnote w:id="1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 xml:space="preserve">CF art.165 § </w:t>
      </w:r>
      <w:proofErr w:type="gramStart"/>
      <w:r>
        <w:rPr>
          <w:rFonts w:ascii="Arial" w:hAnsi="Arial" w:cs="Arial"/>
          <w:sz w:val="16"/>
          <w:lang w:val="en-US"/>
        </w:rPr>
        <w:t>2</w:t>
      </w:r>
      <w:proofErr w:type="gramEnd"/>
      <w:r>
        <w:rPr>
          <w:rFonts w:ascii="Arial" w:hAnsi="Arial" w:cs="Arial"/>
          <w:sz w:val="16"/>
          <w:lang w:val="en-US"/>
        </w:rPr>
        <w:t>º; LRF; LRF, art. 4º, § 2º, V</w:t>
      </w:r>
    </w:p>
  </w:footnote>
  <w:footnote w:id="2">
    <w:p w:rsidR="00327713" w:rsidRDefault="00327713" w:rsidP="00871D57">
      <w:pPr>
        <w:tabs>
          <w:tab w:val="left" w:pos="290"/>
        </w:tabs>
        <w:jc w:val="both"/>
        <w:rPr>
          <w:rFonts w:cs="Arial"/>
          <w:sz w:val="16"/>
          <w:lang w:val="en-US"/>
        </w:rPr>
      </w:pPr>
      <w:r>
        <w:rPr>
          <w:rStyle w:val="Refdenotaderodap"/>
          <w:sz w:val="16"/>
        </w:rPr>
        <w:footnoteRef/>
      </w:r>
      <w:r>
        <w:rPr>
          <w:rFonts w:cs="Arial"/>
          <w:sz w:val="16"/>
          <w:lang w:val="en-US"/>
        </w:rPr>
        <w:t>CF art. 165, §2</w:t>
      </w:r>
      <w:proofErr w:type="gramStart"/>
      <w:r>
        <w:rPr>
          <w:rFonts w:cs="Arial"/>
          <w:sz w:val="16"/>
          <w:lang w:val="en-US"/>
        </w:rPr>
        <w:t>º ;</w:t>
      </w:r>
      <w:proofErr w:type="gramEnd"/>
      <w:r>
        <w:rPr>
          <w:rFonts w:cs="Arial"/>
          <w:sz w:val="16"/>
          <w:lang w:val="en-US"/>
        </w:rPr>
        <w:t xml:space="preserve"> CF art. 165, § </w:t>
      </w:r>
      <w:proofErr w:type="gramStart"/>
      <w:r>
        <w:rPr>
          <w:rFonts w:cs="Arial"/>
          <w:sz w:val="16"/>
          <w:lang w:val="en-US"/>
        </w:rPr>
        <w:t>7</w:t>
      </w:r>
      <w:proofErr w:type="gramEnd"/>
      <w:r>
        <w:rPr>
          <w:rFonts w:cs="Arial"/>
          <w:sz w:val="16"/>
          <w:lang w:val="en-US"/>
        </w:rPr>
        <w:t>º; Art. 4º da LRF</w:t>
      </w:r>
    </w:p>
  </w:footnote>
  <w:footnote w:id="3">
    <w:p w:rsidR="00327713" w:rsidRDefault="00327713" w:rsidP="00871D57">
      <w:pPr>
        <w:pStyle w:val="Textodenotaderodap"/>
        <w:rPr>
          <w:rFonts w:ascii="Arial" w:hAnsi="Arial" w:cs="Arial"/>
          <w:sz w:val="16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</w:rPr>
        <w:t xml:space="preserve"> Portaria SOF nº 42/99; Portaria STN nº 163/01; CF art. 167, VI</w:t>
      </w:r>
    </w:p>
  </w:footnote>
  <w:footnote w:id="4">
    <w:p w:rsidR="00327713" w:rsidRDefault="00327713" w:rsidP="00871D57">
      <w:pPr>
        <w:pStyle w:val="Textodenotaderodap"/>
        <w:rPr>
          <w:lang w:val="en-US"/>
        </w:rPr>
      </w:pPr>
      <w:r>
        <w:rPr>
          <w:rStyle w:val="Refdenotaderodap"/>
        </w:rPr>
        <w:footnoteRef/>
      </w:r>
      <w:r>
        <w:rPr>
          <w:rFonts w:ascii="Arial" w:hAnsi="Arial" w:cs="Arial"/>
          <w:sz w:val="16"/>
          <w:lang w:val="en-US"/>
        </w:rPr>
        <w:t xml:space="preserve">Lei nº 4.320/64, arts.2º e 22; CF art.165, § </w:t>
      </w:r>
      <w:proofErr w:type="gramStart"/>
      <w:r>
        <w:rPr>
          <w:rFonts w:ascii="Arial" w:hAnsi="Arial" w:cs="Arial"/>
          <w:sz w:val="16"/>
          <w:lang w:val="en-US"/>
        </w:rPr>
        <w:t>5</w:t>
      </w:r>
      <w:proofErr w:type="gramEnd"/>
      <w:r>
        <w:rPr>
          <w:rFonts w:ascii="Arial" w:hAnsi="Arial" w:cs="Arial"/>
          <w:sz w:val="16"/>
          <w:lang w:val="en-US"/>
        </w:rPr>
        <w:t>º; CF. art.100, § 1º LRF art.5º; LRF art. 12</w:t>
      </w:r>
    </w:p>
  </w:footnote>
  <w:footnote w:id="5">
    <w:p w:rsidR="00327713" w:rsidRPr="00447B79" w:rsidRDefault="00327713" w:rsidP="00871D57">
      <w:pPr>
        <w:pStyle w:val="Textodenotaderodap"/>
        <w:rPr>
          <w:rFonts w:ascii="Arial" w:hAnsi="Arial" w:cs="Arial"/>
          <w:sz w:val="16"/>
        </w:rPr>
      </w:pPr>
      <w:r>
        <w:rPr>
          <w:rStyle w:val="Refdenotaderodap"/>
          <w:rFonts w:ascii="Arial" w:hAnsi="Arial"/>
          <w:sz w:val="16"/>
        </w:rPr>
        <w:footnoteRef/>
      </w:r>
      <w:r w:rsidRPr="00447B79">
        <w:rPr>
          <w:rFonts w:ascii="Arial" w:hAnsi="Arial" w:cs="Arial"/>
          <w:sz w:val="16"/>
        </w:rPr>
        <w:t xml:space="preserve"> CF art. 100</w:t>
      </w:r>
    </w:p>
  </w:footnote>
  <w:footnote w:id="6">
    <w:p w:rsidR="00327713" w:rsidRDefault="00327713" w:rsidP="00871D57">
      <w:pPr>
        <w:tabs>
          <w:tab w:val="left" w:pos="290"/>
        </w:tabs>
        <w:jc w:val="both"/>
        <w:rPr>
          <w:rFonts w:cs="Arial"/>
          <w:sz w:val="16"/>
        </w:rPr>
      </w:pPr>
      <w:r>
        <w:rPr>
          <w:rStyle w:val="Refdenotaderodap"/>
          <w:sz w:val="16"/>
        </w:rPr>
        <w:footnoteRef/>
      </w:r>
      <w:r w:rsidRPr="00447B79">
        <w:rPr>
          <w:rFonts w:cs="Arial"/>
          <w:sz w:val="16"/>
        </w:rPr>
        <w:t xml:space="preserve"> LRF arts. </w:t>
      </w:r>
      <w:r>
        <w:rPr>
          <w:rFonts w:cs="Arial"/>
          <w:sz w:val="16"/>
        </w:rPr>
        <w:t>29, 30, 31e 32; Resolução 40/2001 do Senado Federal; Resolução 43/2001 do Senado Federal</w:t>
      </w:r>
    </w:p>
  </w:footnote>
  <w:footnote w:id="7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>LRF art. 5º, III</w:t>
      </w:r>
    </w:p>
  </w:footnote>
  <w:footnote w:id="8">
    <w:p w:rsidR="00327713" w:rsidRDefault="00327713" w:rsidP="00871D57">
      <w:pPr>
        <w:tabs>
          <w:tab w:val="left" w:pos="180"/>
        </w:tabs>
        <w:jc w:val="both"/>
        <w:rPr>
          <w:rFonts w:cs="Arial"/>
          <w:sz w:val="16"/>
          <w:lang w:val="en-US"/>
        </w:rPr>
      </w:pPr>
      <w:r>
        <w:rPr>
          <w:rStyle w:val="Refdenotaderodap"/>
          <w:sz w:val="16"/>
        </w:rPr>
        <w:footnoteRef/>
      </w:r>
      <w:r>
        <w:rPr>
          <w:rFonts w:cs="Arial"/>
          <w:sz w:val="16"/>
          <w:lang w:val="en-US"/>
        </w:rPr>
        <w:t xml:space="preserve">LRF arts.18 </w:t>
      </w:r>
      <w:proofErr w:type="spellStart"/>
      <w:r>
        <w:rPr>
          <w:rFonts w:cs="Arial"/>
          <w:sz w:val="16"/>
          <w:lang w:val="en-US"/>
        </w:rPr>
        <w:t>ao</w:t>
      </w:r>
      <w:proofErr w:type="spellEnd"/>
      <w:r>
        <w:rPr>
          <w:rFonts w:cs="Arial"/>
          <w:sz w:val="16"/>
          <w:lang w:val="en-US"/>
        </w:rPr>
        <w:t xml:space="preserve"> 23; LRF art.22, V; CF art.169; LRF, arts. 15 </w:t>
      </w:r>
      <w:proofErr w:type="spellStart"/>
      <w:r>
        <w:rPr>
          <w:rFonts w:cs="Arial"/>
          <w:sz w:val="16"/>
          <w:lang w:val="en-US"/>
        </w:rPr>
        <w:t>ao</w:t>
      </w:r>
      <w:proofErr w:type="spellEnd"/>
      <w:r>
        <w:rPr>
          <w:rFonts w:cs="Arial"/>
          <w:sz w:val="16"/>
          <w:lang w:val="en-US"/>
        </w:rPr>
        <w:t xml:space="preserve"> 17</w:t>
      </w:r>
    </w:p>
  </w:footnote>
  <w:footnote w:id="9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>LRF art. 22, V</w:t>
      </w:r>
    </w:p>
  </w:footnote>
  <w:footnote w:id="10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>LRF art.4º, I, a; LRF art.14; LRF arts. 15, 16 e 17</w:t>
      </w:r>
    </w:p>
  </w:footnote>
  <w:footnote w:id="11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>LRF, art.9º e art.31, §</w:t>
      </w:r>
      <w:proofErr w:type="gramStart"/>
      <w:r>
        <w:rPr>
          <w:rFonts w:ascii="Arial" w:hAnsi="Arial" w:cs="Arial"/>
          <w:sz w:val="16"/>
          <w:lang w:val="en-US"/>
        </w:rPr>
        <w:t>1</w:t>
      </w:r>
      <w:proofErr w:type="gramEnd"/>
      <w:r>
        <w:rPr>
          <w:rFonts w:ascii="Arial" w:hAnsi="Arial" w:cs="Arial"/>
          <w:sz w:val="16"/>
          <w:lang w:val="en-US"/>
        </w:rPr>
        <w:t xml:space="preserve">º, II; LRF, art.9º, § 2º; </w:t>
      </w:r>
      <w:r>
        <w:rPr>
          <w:rFonts w:ascii="Arial" w:hAnsi="Arial" w:cs="Arial"/>
          <w:sz w:val="16"/>
          <w:szCs w:val="24"/>
          <w:lang w:val="en-US"/>
        </w:rPr>
        <w:t>Lei nº 10.028/00 art. 5º, III</w:t>
      </w:r>
    </w:p>
  </w:footnote>
  <w:footnote w:id="12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>LRF, art. 4º, I, c</w:t>
      </w:r>
    </w:p>
  </w:footnote>
  <w:footnote w:id="13">
    <w:p w:rsidR="00327713" w:rsidRDefault="00327713" w:rsidP="00871D57">
      <w:pPr>
        <w:tabs>
          <w:tab w:val="left" w:pos="290"/>
        </w:tabs>
        <w:jc w:val="both"/>
        <w:rPr>
          <w:rFonts w:cs="Arial"/>
          <w:sz w:val="16"/>
          <w:lang w:val="en-US"/>
        </w:rPr>
      </w:pPr>
      <w:r>
        <w:rPr>
          <w:rFonts w:cs="Arial"/>
          <w:sz w:val="16"/>
          <w:lang w:val="en-US"/>
        </w:rPr>
        <w:t>LRF art.4º, I, f; LRF art. 26; Lei nº 4.320/64, art.12, §§ 2º</w:t>
      </w:r>
      <w:proofErr w:type="gramStart"/>
      <w:r>
        <w:rPr>
          <w:rFonts w:cs="Arial"/>
          <w:sz w:val="16"/>
          <w:lang w:val="en-US"/>
        </w:rPr>
        <w:t>,  3</w:t>
      </w:r>
      <w:proofErr w:type="gramEnd"/>
      <w:r>
        <w:rPr>
          <w:rFonts w:cs="Arial"/>
          <w:sz w:val="16"/>
          <w:lang w:val="en-US"/>
        </w:rPr>
        <w:t>º, 6º; Lei nº 4.320/64, art.16 a 19 e 21; CF/88 – art. 167, VI</w:t>
      </w:r>
    </w:p>
  </w:footnote>
  <w:footnote w:id="14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>LRF art.62; CF art. 241</w:t>
      </w:r>
    </w:p>
  </w:footnote>
  <w:footnote w:id="15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 xml:space="preserve">LRF art.5º, § </w:t>
      </w:r>
      <w:proofErr w:type="gramStart"/>
      <w:r>
        <w:rPr>
          <w:rFonts w:ascii="Arial" w:hAnsi="Arial" w:cs="Arial"/>
          <w:sz w:val="16"/>
          <w:lang w:val="en-US"/>
        </w:rPr>
        <w:t>5</w:t>
      </w:r>
      <w:proofErr w:type="gramEnd"/>
      <w:r>
        <w:rPr>
          <w:rFonts w:ascii="Arial" w:hAnsi="Arial" w:cs="Arial"/>
          <w:sz w:val="16"/>
          <w:lang w:val="en-US"/>
        </w:rPr>
        <w:t>º; CF art.167, § 1º; LRF art.45; LRF art. 48</w:t>
      </w:r>
    </w:p>
  </w:footnote>
  <w:footnote w:id="16">
    <w:p w:rsidR="00327713" w:rsidRDefault="00327713" w:rsidP="00871D57">
      <w:pPr>
        <w:pStyle w:val="Textodenotaderodap"/>
        <w:rPr>
          <w:rFonts w:ascii="Arial" w:hAnsi="Arial" w:cs="Arial"/>
          <w:sz w:val="16"/>
          <w:lang w:val="en-US"/>
        </w:rPr>
      </w:pPr>
      <w:r>
        <w:rPr>
          <w:rStyle w:val="Refdenotaderodap"/>
          <w:rFonts w:ascii="Arial" w:hAnsi="Arial"/>
          <w:sz w:val="16"/>
        </w:rPr>
        <w:footnoteRef/>
      </w:r>
      <w:r>
        <w:rPr>
          <w:rFonts w:ascii="Arial" w:hAnsi="Arial" w:cs="Arial"/>
          <w:sz w:val="16"/>
          <w:lang w:val="en-US"/>
        </w:rPr>
        <w:t>LRF art. 16, § 3º</w:t>
      </w:r>
    </w:p>
  </w:footnote>
  <w:footnote w:id="17">
    <w:p w:rsidR="00327713" w:rsidRPr="00E3671B" w:rsidRDefault="00327713" w:rsidP="00871D57">
      <w:pPr>
        <w:tabs>
          <w:tab w:val="left" w:pos="290"/>
        </w:tabs>
        <w:jc w:val="both"/>
        <w:rPr>
          <w:rFonts w:cs="Arial"/>
          <w:sz w:val="16"/>
          <w:lang w:val="en-US"/>
        </w:rPr>
      </w:pPr>
      <w:r>
        <w:rPr>
          <w:rStyle w:val="Refdenotaderodap"/>
          <w:sz w:val="16"/>
        </w:rPr>
        <w:footnoteRef/>
      </w:r>
      <w:r>
        <w:rPr>
          <w:rFonts w:cs="Arial"/>
          <w:sz w:val="16"/>
          <w:lang w:val="en-US"/>
        </w:rPr>
        <w:t xml:space="preserve">CF art.167, VI e VIII; CF art.165, § </w:t>
      </w:r>
      <w:proofErr w:type="gramStart"/>
      <w:r>
        <w:rPr>
          <w:rFonts w:cs="Arial"/>
          <w:sz w:val="16"/>
          <w:lang w:val="en-US"/>
        </w:rPr>
        <w:t>8</w:t>
      </w:r>
      <w:proofErr w:type="gramEnd"/>
      <w:r>
        <w:rPr>
          <w:rFonts w:cs="Arial"/>
          <w:sz w:val="16"/>
          <w:lang w:val="en-US"/>
        </w:rPr>
        <w:t>º; CF art.167, II; LRF art.16; LRF art.4º, §§ 1º, 2º e 3º; Lei nº 4.320/64 arts.</w:t>
      </w:r>
      <w:smartTag w:uri="urn:schemas-microsoft-com:office:smarttags" w:element="metricconverter">
        <w:smartTagPr>
          <w:attr w:name="ProductID" w:val="40 a"/>
        </w:smartTagPr>
        <w:r w:rsidRPr="00E3671B">
          <w:rPr>
            <w:rFonts w:cs="Arial"/>
            <w:sz w:val="16"/>
            <w:lang w:val="en-US"/>
          </w:rPr>
          <w:t>40 a</w:t>
        </w:r>
      </w:smartTag>
      <w:r w:rsidRPr="00E3671B">
        <w:rPr>
          <w:rFonts w:cs="Arial"/>
          <w:sz w:val="16"/>
          <w:lang w:val="en-US"/>
        </w:rPr>
        <w:t xml:space="preserve"> 46; Lei nº 4.320/64 art. 7º, 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713" w:rsidRPr="00D81F03" w:rsidRDefault="00327713" w:rsidP="000F6AE3">
    <w:pPr>
      <w:pStyle w:val="Cabealho"/>
      <w:spacing w:line="320" w:lineRule="exact"/>
      <w:jc w:val="center"/>
      <w:rPr>
        <w:b/>
        <w:bCs/>
        <w:sz w:val="28"/>
        <w:szCs w:val="28"/>
      </w:rPr>
    </w:pPr>
    <w:r>
      <w:rPr>
        <w:b/>
        <w:bCs/>
        <w:noProof/>
        <w:sz w:val="2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-532765</wp:posOffset>
          </wp:positionH>
          <wp:positionV relativeFrom="paragraph">
            <wp:posOffset>-202565</wp:posOffset>
          </wp:positionV>
          <wp:extent cx="918845" cy="805180"/>
          <wp:effectExtent l="0" t="0" r="0" b="0"/>
          <wp:wrapTight wrapText="bothSides">
            <wp:wrapPolygon edited="0">
              <wp:start x="0" y="0"/>
              <wp:lineTo x="0" y="20953"/>
              <wp:lineTo x="21048" y="20953"/>
              <wp:lineTo x="21048" y="0"/>
              <wp:lineTo x="0" y="0"/>
            </wp:wrapPolygon>
          </wp:wrapTight>
          <wp:docPr id="9" name="Imagem 0" descr="brazã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zão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805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81F03">
      <w:rPr>
        <w:b/>
        <w:bCs/>
        <w:sz w:val="28"/>
        <w:szCs w:val="28"/>
      </w:rPr>
      <w:t>PREFEITURA MUNICIPAL DE SANTANA DA VARGEM</w:t>
    </w:r>
  </w:p>
  <w:p w:rsidR="00327713" w:rsidRPr="00D81F03" w:rsidRDefault="00327713" w:rsidP="000F6AE3">
    <w:pPr>
      <w:pStyle w:val="Cabealho"/>
      <w:spacing w:line="320" w:lineRule="exact"/>
      <w:jc w:val="center"/>
      <w:rPr>
        <w:sz w:val="24"/>
      </w:rPr>
    </w:pPr>
    <w:r w:rsidRPr="00D81F03">
      <w:rPr>
        <w:sz w:val="24"/>
      </w:rPr>
      <w:t>Praça Padre João Maciel Neiva, 15 – 37.195-000</w:t>
    </w:r>
  </w:p>
  <w:p w:rsidR="00327713" w:rsidRDefault="00327713" w:rsidP="000F6AE3">
    <w:pPr>
      <w:pStyle w:val="Cabealho"/>
      <w:tabs>
        <w:tab w:val="left" w:pos="1475"/>
        <w:tab w:val="center" w:pos="5103"/>
      </w:tabs>
      <w:spacing w:line="320" w:lineRule="exact"/>
      <w:jc w:val="center"/>
      <w:rPr>
        <w:sz w:val="24"/>
      </w:rPr>
    </w:pPr>
    <w:r w:rsidRPr="00D81F03">
      <w:rPr>
        <w:sz w:val="24"/>
      </w:rPr>
      <w:t>Fone (035) 3858-1200 - CNPJ 18.245.183/0001-70</w:t>
    </w:r>
  </w:p>
  <w:p w:rsidR="00327713" w:rsidRPr="00D81F03" w:rsidRDefault="00570081" w:rsidP="000F6AE3">
    <w:pPr>
      <w:pStyle w:val="Cabealho"/>
      <w:tabs>
        <w:tab w:val="left" w:pos="1475"/>
        <w:tab w:val="center" w:pos="5103"/>
      </w:tabs>
      <w:spacing w:line="320" w:lineRule="exact"/>
      <w:jc w:val="center"/>
      <w:rPr>
        <w:sz w:val="24"/>
      </w:rPr>
    </w:pPr>
    <w:hyperlink r:id="rId2" w:history="1">
      <w:r w:rsidR="00327713" w:rsidRPr="00430E37">
        <w:rPr>
          <w:rStyle w:val="Hyperlink"/>
          <w:sz w:val="24"/>
        </w:rPr>
        <w:t>administração@santanadavargem.mg.gov.br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D57"/>
    <w:rsid w:val="000D49DA"/>
    <w:rsid w:val="000F6AE3"/>
    <w:rsid w:val="00182B8A"/>
    <w:rsid w:val="00207270"/>
    <w:rsid w:val="0022434A"/>
    <w:rsid w:val="00327713"/>
    <w:rsid w:val="00345CE3"/>
    <w:rsid w:val="00370424"/>
    <w:rsid w:val="0037427B"/>
    <w:rsid w:val="003F2436"/>
    <w:rsid w:val="00427B63"/>
    <w:rsid w:val="00450B47"/>
    <w:rsid w:val="004B56D4"/>
    <w:rsid w:val="004B6782"/>
    <w:rsid w:val="00570081"/>
    <w:rsid w:val="005B5675"/>
    <w:rsid w:val="006F6B38"/>
    <w:rsid w:val="00713BEB"/>
    <w:rsid w:val="00722CD5"/>
    <w:rsid w:val="00871D57"/>
    <w:rsid w:val="008A75F3"/>
    <w:rsid w:val="008E0D5A"/>
    <w:rsid w:val="00B86C66"/>
    <w:rsid w:val="00CB616D"/>
    <w:rsid w:val="00CC6632"/>
    <w:rsid w:val="00D245E0"/>
    <w:rsid w:val="00E3671B"/>
    <w:rsid w:val="00E540AB"/>
    <w:rsid w:val="00EB027A"/>
    <w:rsid w:val="00EC7D22"/>
    <w:rsid w:val="00F24DCB"/>
    <w:rsid w:val="00F40064"/>
    <w:rsid w:val="00FA2D1B"/>
    <w:rsid w:val="00FE7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5:docId w15:val="{39A65CC4-10BF-4CC0-8F82-06346977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D57"/>
    <w:pPr>
      <w:spacing w:after="0" w:line="240" w:lineRule="auto"/>
    </w:pPr>
    <w:rPr>
      <w:rFonts w:ascii="Arial" w:eastAsia="Times New Roman" w:hAnsi="Arial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71D57"/>
    <w:pPr>
      <w:keepNext/>
      <w:spacing w:line="340" w:lineRule="exact"/>
      <w:ind w:left="2250"/>
      <w:outlineLvl w:val="0"/>
    </w:pPr>
    <w:rPr>
      <w:rFonts w:cs="Arial"/>
      <w:b/>
      <w:bCs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71D57"/>
    <w:rPr>
      <w:rFonts w:ascii="Arial" w:eastAsia="Times New Roman" w:hAnsi="Arial" w:cs="Arial"/>
      <w:b/>
      <w:bCs/>
      <w:sz w:val="32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871D5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71D57"/>
    <w:rPr>
      <w:rFonts w:ascii="Arial" w:eastAsia="Times New Roman" w:hAnsi="Arial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1D57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semiHidden/>
    <w:rsid w:val="00871D57"/>
    <w:pPr>
      <w:spacing w:line="360" w:lineRule="auto"/>
      <w:ind w:left="1080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71D57"/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Blockquote">
    <w:name w:val="Blockquote"/>
    <w:basedOn w:val="Normal"/>
    <w:rsid w:val="00871D57"/>
    <w:pPr>
      <w:snapToGrid w:val="0"/>
      <w:spacing w:before="100" w:after="100"/>
      <w:ind w:left="360" w:right="360"/>
    </w:pPr>
    <w:rPr>
      <w:rFonts w:ascii="Times New Roman" w:hAnsi="Times New Roman"/>
      <w:sz w:val="24"/>
      <w:szCs w:val="20"/>
    </w:rPr>
  </w:style>
  <w:style w:type="paragraph" w:styleId="Corpodetexto3">
    <w:name w:val="Body Text 3"/>
    <w:basedOn w:val="Normal"/>
    <w:link w:val="Corpodetexto3Char"/>
    <w:semiHidden/>
    <w:rsid w:val="00871D57"/>
    <w:pPr>
      <w:jc w:val="both"/>
    </w:pPr>
    <w:rPr>
      <w:rFonts w:cs="Arial"/>
      <w:b/>
      <w:bCs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871D57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styleId="Refdenotaderodap">
    <w:name w:val="footnote reference"/>
    <w:basedOn w:val="Fontepargpadro"/>
    <w:semiHidden/>
    <w:rsid w:val="00871D57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871D57"/>
    <w:rPr>
      <w:rFonts w:ascii="Times New Roman" w:hAnsi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71D5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6A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6AE3"/>
    <w:rPr>
      <w:rFonts w:ascii="Arial" w:eastAsia="Times New Roman" w:hAnsi="Arial" w:cs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6C6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C6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lanalto.gov.br/ccivil_03/LEIS/LCP/Lcp101.ht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&#231;&#227;o@santanadavargem.mg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4817</Words>
  <Characters>26012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Gabinete</cp:lastModifiedBy>
  <cp:revision>3</cp:revision>
  <cp:lastPrinted>2016-04-15T16:45:00Z</cp:lastPrinted>
  <dcterms:created xsi:type="dcterms:W3CDTF">2016-04-15T15:53:00Z</dcterms:created>
  <dcterms:modified xsi:type="dcterms:W3CDTF">2017-01-04T16:07:00Z</dcterms:modified>
</cp:coreProperties>
</file>